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9A" w:rsidRDefault="00CA5B9A">
      <w:pPr>
        <w:jc w:val="both"/>
        <w:rPr>
          <w:rFonts w:ascii="Arial" w:hAnsi="Arial" w:cs="Arial"/>
        </w:rPr>
      </w:pPr>
      <w:bookmarkStart w:id="0" w:name="_GoBack"/>
      <w:bookmarkEnd w:id="0"/>
    </w:p>
    <w:p w:rsidR="00CA5B9A" w:rsidRDefault="00CA5B9A">
      <w:pPr>
        <w:pStyle w:val="Heading3"/>
        <w:rPr>
          <w:rFonts w:ascii="Arial" w:hAnsi="Arial" w:cs="Arial"/>
          <w:sz w:val="24"/>
          <w:szCs w:val="24"/>
        </w:rPr>
      </w:pPr>
      <w:r>
        <w:rPr>
          <w:rFonts w:ascii="Arial" w:hAnsi="Arial" w:cs="Arial"/>
          <w:sz w:val="24"/>
          <w:szCs w:val="24"/>
        </w:rPr>
        <w:t>"B" TÍPUSÚ PÁLYÁZATI KIÍRÁS</w:t>
      </w:r>
    </w:p>
    <w:p w:rsidR="00CA5B9A" w:rsidRDefault="00CA5B9A">
      <w:pPr>
        <w:jc w:val="both"/>
        <w:rPr>
          <w:rFonts w:ascii="Arial" w:hAnsi="Arial" w:cs="Arial"/>
        </w:rPr>
      </w:pPr>
    </w:p>
    <w:p w:rsidR="00CA5B9A" w:rsidRDefault="00CA5B9A">
      <w:pPr>
        <w:jc w:val="center"/>
        <w:rPr>
          <w:rFonts w:ascii="Arial" w:hAnsi="Arial" w:cs="Arial"/>
          <w:b/>
          <w:bCs/>
        </w:rPr>
      </w:pPr>
      <w:r>
        <w:rPr>
          <w:rFonts w:ascii="Arial" w:hAnsi="Arial" w:cs="Arial"/>
          <w:b/>
          <w:bCs/>
        </w:rPr>
        <w:t xml:space="preserve">Lakhegy Község Önkormányzata az Emberi Erőforrások Minisztériumával </w:t>
      </w:r>
    </w:p>
    <w:p w:rsidR="00CA5B9A" w:rsidRDefault="00CA5B9A">
      <w:pPr>
        <w:jc w:val="center"/>
        <w:rPr>
          <w:rFonts w:ascii="Arial" w:hAnsi="Arial" w:cs="Arial"/>
          <w:b/>
          <w:bCs/>
        </w:rPr>
      </w:pPr>
      <w:r>
        <w:rPr>
          <w:rFonts w:ascii="Arial" w:hAnsi="Arial" w:cs="Arial"/>
          <w:b/>
          <w:bCs/>
        </w:rPr>
        <w:t>együttműködve, az 51/2007. (III.26.) Kormányrendelet alapján</w:t>
      </w:r>
      <w:r>
        <w:rPr>
          <w:rFonts w:ascii="Arial" w:hAnsi="Arial" w:cs="Arial"/>
          <w:b/>
          <w:bCs/>
        </w:rPr>
        <w:br/>
        <w:t xml:space="preserve"> ezennel kiírja a 2016. évre </w:t>
      </w:r>
    </w:p>
    <w:p w:rsidR="00CA5B9A" w:rsidRDefault="00CA5B9A">
      <w:pPr>
        <w:jc w:val="center"/>
        <w:rPr>
          <w:rFonts w:ascii="Arial" w:hAnsi="Arial" w:cs="Arial"/>
          <w:b/>
          <w:bCs/>
        </w:rPr>
      </w:pPr>
      <w:r>
        <w:rPr>
          <w:rFonts w:ascii="Arial" w:hAnsi="Arial" w:cs="Arial"/>
          <w:b/>
          <w:bCs/>
        </w:rPr>
        <w:t>a Bursa Hungarica Felsőoktatási Önkormányzati Ösztöndíjpályázatot</w:t>
      </w:r>
    </w:p>
    <w:p w:rsidR="00CA5B9A" w:rsidRDefault="00CA5B9A">
      <w:pPr>
        <w:jc w:val="center"/>
        <w:rPr>
          <w:rFonts w:ascii="Arial" w:hAnsi="Arial" w:cs="Arial"/>
          <w:b/>
          <w:bCs/>
        </w:rPr>
      </w:pPr>
      <w:r>
        <w:rPr>
          <w:rFonts w:ascii="Arial" w:hAnsi="Arial" w:cs="Arial"/>
          <w:b/>
          <w:bCs/>
        </w:rPr>
        <w:t>felsőoktatási tanulmányokat kezdeni kívánó fiatalok számára,</w:t>
      </w:r>
    </w:p>
    <w:p w:rsidR="00CA5B9A" w:rsidRDefault="00CA5B9A">
      <w:pPr>
        <w:jc w:val="center"/>
        <w:rPr>
          <w:rFonts w:ascii="Arial" w:hAnsi="Arial" w:cs="Arial"/>
          <w:b/>
          <w:bCs/>
        </w:rPr>
      </w:pPr>
      <w:r>
        <w:rPr>
          <w:rFonts w:ascii="Arial" w:hAnsi="Arial" w:cs="Arial"/>
          <w:b/>
          <w:bCs/>
        </w:rPr>
        <w:t xml:space="preserve">összhangban </w:t>
      </w:r>
    </w:p>
    <w:p w:rsidR="00CA5B9A" w:rsidRDefault="00CA5B9A">
      <w:pPr>
        <w:jc w:val="center"/>
        <w:rPr>
          <w:rFonts w:ascii="Arial" w:hAnsi="Arial" w:cs="Arial"/>
          <w:b/>
          <w:bCs/>
        </w:rPr>
      </w:pPr>
    </w:p>
    <w:p w:rsidR="00CA5B9A" w:rsidRDefault="00CA5B9A">
      <w:pPr>
        <w:pStyle w:val="ListParagraph"/>
        <w:numPr>
          <w:ilvl w:val="0"/>
          <w:numId w:val="15"/>
        </w:numPr>
        <w:rPr>
          <w:rFonts w:ascii="Arial" w:hAnsi="Arial" w:cs="Arial"/>
          <w:color w:val="000000"/>
          <w:sz w:val="22"/>
          <w:szCs w:val="22"/>
        </w:rPr>
      </w:pPr>
      <w:r>
        <w:rPr>
          <w:rFonts w:ascii="Arial" w:hAnsi="Arial" w:cs="Arial"/>
          <w:color w:val="000000"/>
          <w:sz w:val="22"/>
          <w:szCs w:val="22"/>
        </w:rPr>
        <w:t>a nemzeti felsőoktatásról szóló 2011. évi CCIV. törvény</w:t>
      </w:r>
    </w:p>
    <w:p w:rsidR="00CA5B9A" w:rsidRDefault="00CA5B9A">
      <w:pPr>
        <w:pStyle w:val="ListParagraph"/>
        <w:numPr>
          <w:ilvl w:val="0"/>
          <w:numId w:val="15"/>
        </w:numPr>
        <w:rPr>
          <w:rFonts w:ascii="Arial" w:hAnsi="Arial" w:cs="Arial"/>
          <w:color w:val="000000"/>
          <w:sz w:val="22"/>
          <w:szCs w:val="22"/>
        </w:rPr>
      </w:pPr>
      <w:r>
        <w:rPr>
          <w:rFonts w:ascii="Arial" w:hAnsi="Arial" w:cs="Arial"/>
          <w:color w:val="000000"/>
          <w:sz w:val="22"/>
          <w:szCs w:val="22"/>
        </w:rPr>
        <w:t>a felsőoktatásban részt vevő hallgatók juttatásairól és az általuk fizetendő egyes térítésekről szóló 51/2007. (III. 26.) Korm. rendelet</w:t>
      </w:r>
    </w:p>
    <w:p w:rsidR="00CA5B9A" w:rsidRDefault="00CA5B9A">
      <w:pPr>
        <w:pStyle w:val="ListParagraph"/>
        <w:numPr>
          <w:ilvl w:val="0"/>
          <w:numId w:val="15"/>
        </w:numPr>
        <w:rPr>
          <w:rFonts w:ascii="Arial" w:hAnsi="Arial" w:cs="Arial"/>
          <w:color w:val="000000"/>
          <w:sz w:val="22"/>
          <w:szCs w:val="22"/>
        </w:rPr>
      </w:pPr>
      <w:r>
        <w:rPr>
          <w:rFonts w:ascii="Arial" w:hAnsi="Arial" w:cs="Arial"/>
          <w:color w:val="000000"/>
          <w:sz w:val="22"/>
          <w:szCs w:val="22"/>
        </w:rPr>
        <w:t>a Nemzeti Közszolgálati Egyetemről, valamint a közigazgatási, rendészeti és katonai felsőoktatásról szóló 2011. évi CXXXII. törvény</w:t>
      </w:r>
    </w:p>
    <w:p w:rsidR="00CA5B9A" w:rsidRDefault="00CA5B9A">
      <w:pPr>
        <w:pStyle w:val="ListParagraph"/>
        <w:numPr>
          <w:ilvl w:val="0"/>
          <w:numId w:val="15"/>
        </w:numPr>
        <w:rPr>
          <w:rFonts w:ascii="Arial" w:hAnsi="Arial" w:cs="Arial"/>
          <w:color w:val="000000"/>
          <w:sz w:val="22"/>
          <w:szCs w:val="22"/>
        </w:rPr>
      </w:pPr>
      <w:r>
        <w:rPr>
          <w:rFonts w:ascii="Arial" w:hAnsi="Arial"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CA5B9A" w:rsidRDefault="00CA5B9A">
      <w:pPr>
        <w:pStyle w:val="ListParagraph"/>
        <w:numPr>
          <w:ilvl w:val="0"/>
          <w:numId w:val="15"/>
        </w:numPr>
        <w:rPr>
          <w:rFonts w:ascii="Arial" w:hAnsi="Arial" w:cs="Arial"/>
          <w:color w:val="000000"/>
          <w:sz w:val="22"/>
          <w:szCs w:val="22"/>
        </w:rPr>
      </w:pPr>
      <w:r>
        <w:rPr>
          <w:rFonts w:ascii="Arial" w:hAnsi="Arial" w:cs="Arial"/>
          <w:color w:val="000000"/>
          <w:sz w:val="22"/>
          <w:szCs w:val="22"/>
        </w:rPr>
        <w:t>a szociális igazgatásról és szociális ellátásokról szóló 1993. évi III. törvény</w:t>
      </w:r>
    </w:p>
    <w:p w:rsidR="00CA5B9A" w:rsidRDefault="00CA5B9A">
      <w:pPr>
        <w:pStyle w:val="ListParagraph"/>
        <w:numPr>
          <w:ilvl w:val="0"/>
          <w:numId w:val="15"/>
        </w:numPr>
        <w:autoSpaceDE w:val="0"/>
        <w:autoSpaceDN w:val="0"/>
        <w:spacing w:line="276" w:lineRule="auto"/>
        <w:jc w:val="both"/>
        <w:rPr>
          <w:rFonts w:ascii="Arial" w:hAnsi="Arial" w:cs="Arial"/>
          <w:sz w:val="22"/>
          <w:szCs w:val="22"/>
        </w:rPr>
      </w:pPr>
      <w:r>
        <w:rPr>
          <w:rFonts w:ascii="Arial" w:hAnsi="Arial" w:cs="Arial"/>
          <w:sz w:val="22"/>
          <w:szCs w:val="22"/>
        </w:rPr>
        <w:t>az államháztartásról szóló 2011. évi CXCV. törvény (a továbbiakban: Áht.)</w:t>
      </w:r>
    </w:p>
    <w:p w:rsidR="00CA5B9A" w:rsidRDefault="00CA5B9A">
      <w:pPr>
        <w:pStyle w:val="ListParagraph"/>
        <w:numPr>
          <w:ilvl w:val="0"/>
          <w:numId w:val="15"/>
        </w:numPr>
        <w:autoSpaceDE w:val="0"/>
        <w:autoSpaceDN w:val="0"/>
        <w:spacing w:line="276" w:lineRule="auto"/>
        <w:jc w:val="both"/>
        <w:rPr>
          <w:rFonts w:ascii="Arial" w:hAnsi="Arial" w:cs="Arial"/>
          <w:sz w:val="22"/>
          <w:szCs w:val="22"/>
        </w:rPr>
      </w:pPr>
      <w:r>
        <w:rPr>
          <w:rFonts w:ascii="Arial" w:hAnsi="Arial" w:cs="Arial"/>
          <w:sz w:val="22"/>
          <w:szCs w:val="22"/>
        </w:rPr>
        <w:t xml:space="preserve">az államháztartásról szóló törvény végrehajtásáról szóló 368/2011. (XII. 31.) Korm. rendelet (a továbbiakban: Ávr.) </w:t>
      </w:r>
    </w:p>
    <w:p w:rsidR="00CA5B9A" w:rsidRDefault="00CA5B9A">
      <w:pPr>
        <w:pStyle w:val="ListParagraph"/>
        <w:numPr>
          <w:ilvl w:val="0"/>
          <w:numId w:val="15"/>
        </w:numPr>
        <w:autoSpaceDE w:val="0"/>
        <w:autoSpaceDN w:val="0"/>
        <w:spacing w:line="276" w:lineRule="auto"/>
        <w:jc w:val="both"/>
        <w:rPr>
          <w:rFonts w:ascii="Arial" w:hAnsi="Arial" w:cs="Arial"/>
          <w:sz w:val="22"/>
          <w:szCs w:val="22"/>
        </w:rPr>
      </w:pPr>
      <w:r>
        <w:rPr>
          <w:rFonts w:ascii="Arial" w:hAnsi="Arial" w:cs="Arial"/>
          <w:sz w:val="22"/>
          <w:szCs w:val="22"/>
        </w:rPr>
        <w:t>Magyarország helyi önkormányzatairól szóló 2011. évi CLXXXIX. törvény</w:t>
      </w:r>
    </w:p>
    <w:p w:rsidR="00CA5B9A" w:rsidRDefault="00CA5B9A">
      <w:pPr>
        <w:pStyle w:val="ListParagraph"/>
        <w:numPr>
          <w:ilvl w:val="0"/>
          <w:numId w:val="15"/>
        </w:numPr>
        <w:autoSpaceDE w:val="0"/>
        <w:autoSpaceDN w:val="0"/>
        <w:spacing w:line="276" w:lineRule="auto"/>
        <w:jc w:val="both"/>
        <w:rPr>
          <w:rFonts w:ascii="Arial" w:hAnsi="Arial" w:cs="Arial"/>
          <w:sz w:val="22"/>
          <w:szCs w:val="22"/>
        </w:rPr>
      </w:pPr>
      <w:r>
        <w:rPr>
          <w:rFonts w:ascii="Arial" w:hAnsi="Arial" w:cs="Arial"/>
          <w:sz w:val="22"/>
          <w:szCs w:val="22"/>
        </w:rPr>
        <w:t>a polgárok személyi adatainak és lakcímének nyilvántartásáról szóló 1992. évi LXVI. Törvény vonatkozó rendelkezéseivel.</w:t>
      </w:r>
    </w:p>
    <w:p w:rsidR="00CA5B9A" w:rsidRDefault="00CA5B9A">
      <w:pPr>
        <w:jc w:val="center"/>
        <w:rPr>
          <w:rFonts w:ascii="Arial" w:hAnsi="Arial" w:cs="Arial"/>
          <w:b/>
          <w:bCs/>
        </w:rPr>
      </w:pPr>
    </w:p>
    <w:p w:rsidR="00CA5B9A" w:rsidRDefault="00CA5B9A">
      <w:pPr>
        <w:jc w:val="both"/>
        <w:rPr>
          <w:rFonts w:ascii="Arial" w:hAnsi="Arial" w:cs="Arial"/>
        </w:rPr>
      </w:pPr>
    </w:p>
    <w:p w:rsidR="00CA5B9A" w:rsidRDefault="00CA5B9A">
      <w:pPr>
        <w:pStyle w:val="ListParagraph"/>
        <w:numPr>
          <w:ilvl w:val="0"/>
          <w:numId w:val="16"/>
        </w:numPr>
        <w:ind w:left="284" w:hanging="284"/>
        <w:jc w:val="both"/>
        <w:rPr>
          <w:rFonts w:ascii="Arial" w:hAnsi="Arial" w:cs="Arial"/>
          <w:b/>
          <w:bCs/>
          <w:sz w:val="22"/>
          <w:szCs w:val="22"/>
        </w:rPr>
      </w:pPr>
      <w:r>
        <w:rPr>
          <w:rFonts w:ascii="Arial" w:hAnsi="Arial" w:cs="Arial"/>
          <w:b/>
          <w:bCs/>
          <w:sz w:val="22"/>
          <w:szCs w:val="22"/>
        </w:rPr>
        <w:t>A pályázat célja</w:t>
      </w:r>
    </w:p>
    <w:p w:rsidR="00CA5B9A" w:rsidRDefault="00CA5B9A">
      <w:pPr>
        <w:pStyle w:val="ListParagraph"/>
        <w:jc w:val="both"/>
        <w:rPr>
          <w:rFonts w:ascii="Arial" w:hAnsi="Arial" w:cs="Arial"/>
          <w:b/>
          <w:bCs/>
          <w:sz w:val="22"/>
          <w:szCs w:val="22"/>
        </w:rPr>
      </w:pPr>
    </w:p>
    <w:p w:rsidR="00CA5B9A" w:rsidRDefault="00CA5B9A">
      <w:pPr>
        <w:jc w:val="both"/>
        <w:rPr>
          <w:rFonts w:ascii="Arial" w:hAnsi="Arial" w:cs="Arial"/>
          <w:sz w:val="22"/>
          <w:szCs w:val="22"/>
        </w:rPr>
      </w:pPr>
      <w:r>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rsidR="00CA5B9A" w:rsidRDefault="00CA5B9A">
      <w:pPr>
        <w:jc w:val="both"/>
        <w:rPr>
          <w:rFonts w:ascii="Arial" w:hAnsi="Arial" w:cs="Arial"/>
          <w:sz w:val="22"/>
          <w:szCs w:val="22"/>
        </w:rPr>
      </w:pPr>
    </w:p>
    <w:p w:rsidR="00CA5B9A" w:rsidRDefault="00CA5B9A">
      <w:pPr>
        <w:tabs>
          <w:tab w:val="num" w:pos="0"/>
        </w:tabs>
        <w:jc w:val="both"/>
        <w:rPr>
          <w:rFonts w:ascii="Arial" w:hAnsi="Arial" w:cs="Arial"/>
          <w:sz w:val="22"/>
          <w:szCs w:val="22"/>
        </w:rPr>
      </w:pPr>
      <w:r>
        <w:rPr>
          <w:rFonts w:ascii="Arial" w:hAnsi="Arial" w:cs="Arial"/>
          <w:b/>
          <w:bCs/>
          <w:sz w:val="22"/>
          <w:szCs w:val="22"/>
          <w:lang w:eastAsia="en-US"/>
        </w:rPr>
        <w:t xml:space="preserve">A Bursa Hungarica Felsőoktatási Önkormányzati Ösztöndíjrendszer jogszabályi hátteréül </w:t>
      </w:r>
      <w:r>
        <w:rPr>
          <w:rFonts w:ascii="Arial" w:hAnsi="Arial" w:cs="Arial"/>
          <w:b/>
          <w:bCs/>
          <w:i/>
          <w:iCs/>
          <w:sz w:val="22"/>
          <w:szCs w:val="22"/>
          <w:lang w:eastAsia="en-US"/>
        </w:rPr>
        <w:t xml:space="preserve">a felsőoktatásban részt vevő hallgatók juttatásairól és az általuk fizetendő egyes térítésekről szóló 51/2007. (III.26.) Kormányrendelet és a nemzeti felsőoktatásról szóló 2011. évi CCIV. törvény </w:t>
      </w:r>
      <w:r>
        <w:rPr>
          <w:rFonts w:ascii="Arial" w:hAnsi="Arial" w:cs="Arial"/>
          <w:b/>
          <w:bCs/>
          <w:sz w:val="22"/>
          <w:szCs w:val="22"/>
          <w:lang w:eastAsia="en-US"/>
        </w:rPr>
        <w:t>szolgál.</w:t>
      </w:r>
    </w:p>
    <w:p w:rsidR="00CA5B9A" w:rsidRDefault="00CA5B9A">
      <w:pPr>
        <w:tabs>
          <w:tab w:val="num" w:pos="0"/>
        </w:tabs>
        <w:jc w:val="both"/>
        <w:rPr>
          <w:rFonts w:ascii="Arial" w:hAnsi="Arial" w:cs="Arial"/>
          <w:sz w:val="22"/>
          <w:szCs w:val="22"/>
        </w:rPr>
      </w:pPr>
    </w:p>
    <w:p w:rsidR="00CA5B9A" w:rsidRDefault="00CA5B9A">
      <w:pPr>
        <w:jc w:val="both"/>
        <w:rPr>
          <w:rFonts w:ascii="Arial" w:hAnsi="Arial" w:cs="Arial"/>
          <w:sz w:val="22"/>
          <w:szCs w:val="22"/>
        </w:rPr>
      </w:pPr>
    </w:p>
    <w:p w:rsidR="00CA5B9A" w:rsidRDefault="00CA5B9A">
      <w:pPr>
        <w:numPr>
          <w:ilvl w:val="0"/>
          <w:numId w:val="11"/>
        </w:numPr>
        <w:ind w:left="284" w:hanging="284"/>
        <w:jc w:val="both"/>
        <w:rPr>
          <w:rFonts w:ascii="Arial" w:hAnsi="Arial" w:cs="Arial"/>
          <w:b/>
          <w:bCs/>
          <w:sz w:val="22"/>
          <w:szCs w:val="22"/>
        </w:rPr>
      </w:pPr>
      <w:r>
        <w:rPr>
          <w:rFonts w:ascii="Arial" w:hAnsi="Arial" w:cs="Arial"/>
          <w:b/>
          <w:bCs/>
          <w:sz w:val="22"/>
          <w:szCs w:val="22"/>
        </w:rPr>
        <w:t>Pályázók köre</w:t>
      </w:r>
    </w:p>
    <w:p w:rsidR="00CA5B9A" w:rsidRDefault="00CA5B9A">
      <w:pPr>
        <w:jc w:val="both"/>
        <w:rPr>
          <w:rFonts w:ascii="Arial" w:hAnsi="Arial" w:cs="Arial"/>
          <w:b/>
          <w:bCs/>
          <w:sz w:val="22"/>
          <w:szCs w:val="22"/>
        </w:rPr>
      </w:pPr>
    </w:p>
    <w:p w:rsidR="00CA5B9A" w:rsidRDefault="00CA5B9A">
      <w:pPr>
        <w:pStyle w:val="BodyText"/>
        <w:rPr>
          <w:rFonts w:ascii="Arial" w:hAnsi="Arial" w:cs="Arial"/>
          <w:sz w:val="22"/>
          <w:szCs w:val="22"/>
        </w:rPr>
      </w:pPr>
      <w:r>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A5B9A" w:rsidRDefault="00CA5B9A">
      <w:pPr>
        <w:jc w:val="both"/>
        <w:rPr>
          <w:rFonts w:ascii="Arial" w:hAnsi="Arial" w:cs="Arial"/>
          <w:b/>
          <w:bCs/>
          <w:sz w:val="22"/>
          <w:szCs w:val="22"/>
        </w:rPr>
      </w:pPr>
    </w:p>
    <w:p w:rsidR="00CA5B9A" w:rsidRDefault="00CA5B9A">
      <w:pPr>
        <w:jc w:val="both"/>
        <w:rPr>
          <w:rFonts w:ascii="Arial" w:hAnsi="Arial" w:cs="Arial"/>
          <w:sz w:val="22"/>
          <w:szCs w:val="22"/>
        </w:rPr>
      </w:pPr>
      <w:r>
        <w:rPr>
          <w:rFonts w:ascii="Arial" w:hAnsi="Arial" w:cs="Arial"/>
          <w:sz w:val="22"/>
          <w:szCs w:val="22"/>
        </w:rPr>
        <w:t xml:space="preserve">Az ösztöndíjpályázatra azok </w:t>
      </w:r>
      <w:r>
        <w:rPr>
          <w:rFonts w:ascii="Arial" w:hAnsi="Arial" w:cs="Arial"/>
          <w:b/>
          <w:bCs/>
          <w:sz w:val="22"/>
          <w:szCs w:val="22"/>
        </w:rPr>
        <w:t>a települési önkormányzat területén lakóhellyel rendelkező, hátrányos szociális helyzetű fiatalok</w:t>
      </w:r>
      <w:r>
        <w:rPr>
          <w:rFonts w:ascii="Arial" w:hAnsi="Arial" w:cs="Arial"/>
          <w:sz w:val="22"/>
          <w:szCs w:val="22"/>
        </w:rPr>
        <w:t xml:space="preserve"> jelentkezhetnek, akik:</w:t>
      </w:r>
    </w:p>
    <w:p w:rsidR="00CA5B9A" w:rsidRDefault="00CA5B9A">
      <w:pPr>
        <w:jc w:val="both"/>
        <w:rPr>
          <w:rFonts w:ascii="Arial" w:hAnsi="Arial" w:cs="Arial"/>
          <w:sz w:val="22"/>
          <w:szCs w:val="22"/>
        </w:rPr>
      </w:pPr>
    </w:p>
    <w:p w:rsidR="00CA5B9A" w:rsidRDefault="00CA5B9A">
      <w:pPr>
        <w:jc w:val="both"/>
        <w:rPr>
          <w:rFonts w:ascii="Arial" w:hAnsi="Arial" w:cs="Arial"/>
          <w:b/>
          <w:bCs/>
          <w:sz w:val="22"/>
          <w:szCs w:val="22"/>
        </w:rPr>
      </w:pPr>
      <w:r>
        <w:rPr>
          <w:rFonts w:ascii="Arial" w:hAnsi="Arial" w:cs="Arial"/>
          <w:b/>
          <w:bCs/>
          <w:sz w:val="22"/>
          <w:szCs w:val="22"/>
        </w:rPr>
        <w:t>a) a 2015/2016. tanévben utolsó éves, érettségi előtt álló középiskolások;</w:t>
      </w:r>
    </w:p>
    <w:p w:rsidR="00CA5B9A" w:rsidRDefault="00CA5B9A">
      <w:pPr>
        <w:spacing w:before="120"/>
        <w:jc w:val="both"/>
        <w:rPr>
          <w:rFonts w:ascii="Arial" w:hAnsi="Arial" w:cs="Arial"/>
          <w:b/>
          <w:bCs/>
          <w:sz w:val="22"/>
          <w:szCs w:val="22"/>
        </w:rPr>
      </w:pPr>
      <w:r>
        <w:rPr>
          <w:rFonts w:ascii="Arial" w:hAnsi="Arial" w:cs="Arial"/>
          <w:b/>
          <w:bCs/>
          <w:sz w:val="22"/>
          <w:szCs w:val="22"/>
        </w:rPr>
        <w:t>vagy</w:t>
      </w:r>
    </w:p>
    <w:p w:rsidR="00CA5B9A" w:rsidRDefault="00CA5B9A">
      <w:pPr>
        <w:pStyle w:val="BodyText3"/>
        <w:spacing w:before="120"/>
        <w:rPr>
          <w:rFonts w:ascii="Arial" w:hAnsi="Arial" w:cs="Arial"/>
          <w:sz w:val="22"/>
          <w:szCs w:val="22"/>
        </w:rPr>
      </w:pPr>
      <w:r>
        <w:rPr>
          <w:rFonts w:ascii="Arial" w:hAnsi="Arial" w:cs="Arial"/>
          <w:sz w:val="22"/>
          <w:szCs w:val="22"/>
        </w:rPr>
        <w:t>b) felsőfokú diplomával nem rendelkező, felsőoktatási intézménybe még felvételt nem nyert érettségizettek;</w:t>
      </w:r>
    </w:p>
    <w:p w:rsidR="00CA5B9A" w:rsidRDefault="00CA5B9A">
      <w:pPr>
        <w:jc w:val="both"/>
        <w:rPr>
          <w:rFonts w:ascii="Arial" w:hAnsi="Arial" w:cs="Arial"/>
          <w:b/>
          <w:bCs/>
          <w:sz w:val="22"/>
          <w:szCs w:val="22"/>
        </w:rPr>
      </w:pPr>
    </w:p>
    <w:p w:rsidR="00CA5B9A" w:rsidRDefault="00CA5B9A">
      <w:pPr>
        <w:jc w:val="both"/>
        <w:rPr>
          <w:rFonts w:ascii="Arial" w:hAnsi="Arial" w:cs="Arial"/>
          <w:sz w:val="22"/>
          <w:szCs w:val="22"/>
        </w:rPr>
      </w:pPr>
      <w:r>
        <w:rPr>
          <w:rFonts w:ascii="Arial" w:hAnsi="Arial" w:cs="Arial"/>
          <w:sz w:val="22"/>
          <w:szCs w:val="22"/>
        </w:rPr>
        <w:t>és a</w:t>
      </w:r>
      <w:r>
        <w:rPr>
          <w:rFonts w:ascii="Arial" w:hAnsi="Arial" w:cs="Arial"/>
          <w:b/>
          <w:bCs/>
          <w:sz w:val="22"/>
          <w:szCs w:val="22"/>
        </w:rPr>
        <w:t>2016/2017. tanévtől kezdődően</w:t>
      </w:r>
      <w:r>
        <w:rPr>
          <w:rFonts w:ascii="Arial" w:hAnsi="Arial" w:cs="Arial"/>
          <w:sz w:val="22"/>
          <w:szCs w:val="22"/>
        </w:rPr>
        <w:t xml:space="preserve"> felsőoktatási intézmény keretében </w:t>
      </w:r>
      <w:r>
        <w:rPr>
          <w:rFonts w:ascii="Arial" w:hAnsi="Arial" w:cs="Arial"/>
          <w:b/>
          <w:bCs/>
          <w:snapToGrid w:val="0"/>
          <w:sz w:val="22"/>
          <w:szCs w:val="22"/>
        </w:rPr>
        <w:t>teljes idejű (nappali tagozatos</w:t>
      </w:r>
      <w:r>
        <w:rPr>
          <w:rFonts w:ascii="Arial" w:hAnsi="Arial" w:cs="Arial"/>
          <w:snapToGrid w:val="0"/>
          <w:sz w:val="22"/>
          <w:szCs w:val="22"/>
        </w:rPr>
        <w:t>) alapfokozatot és szakképzettséget eredményező alapképzésben, osztatlan képzésben vagy felsőoktatásiszakképzésben kívánnak részt</w:t>
      </w:r>
      <w:r>
        <w:rPr>
          <w:rFonts w:ascii="Arial" w:hAnsi="Arial" w:cs="Arial"/>
          <w:sz w:val="22"/>
          <w:szCs w:val="22"/>
        </w:rPr>
        <w:t xml:space="preserve"> venni. </w:t>
      </w:r>
    </w:p>
    <w:p w:rsidR="00CA5B9A" w:rsidRDefault="00CA5B9A">
      <w:pPr>
        <w:jc w:val="both"/>
        <w:rPr>
          <w:rFonts w:ascii="Arial" w:hAnsi="Arial" w:cs="Arial"/>
          <w:sz w:val="22"/>
          <w:szCs w:val="22"/>
        </w:rPr>
      </w:pPr>
    </w:p>
    <w:p w:rsidR="00CA5B9A" w:rsidRDefault="00CA5B9A">
      <w:pPr>
        <w:jc w:val="both"/>
        <w:rPr>
          <w:rFonts w:ascii="Arial" w:hAnsi="Arial" w:cs="Arial"/>
          <w:b/>
          <w:bCs/>
          <w:sz w:val="22"/>
          <w:szCs w:val="22"/>
        </w:rPr>
      </w:pPr>
      <w:r>
        <w:rPr>
          <w:rFonts w:ascii="Arial" w:hAnsi="Arial" w:cs="Arial"/>
          <w:b/>
          <w:bCs/>
          <w:sz w:val="22"/>
          <w:szCs w:val="22"/>
        </w:rPr>
        <w:t>Nem részesülhet ösztöndíjban az a pályázó, aki:</w:t>
      </w:r>
    </w:p>
    <w:p w:rsidR="00CA5B9A" w:rsidRDefault="00CA5B9A">
      <w:pPr>
        <w:numPr>
          <w:ilvl w:val="0"/>
          <w:numId w:val="5"/>
        </w:numPr>
        <w:jc w:val="both"/>
        <w:rPr>
          <w:rFonts w:ascii="Arial" w:hAnsi="Arial" w:cs="Arial"/>
          <w:sz w:val="22"/>
          <w:szCs w:val="22"/>
        </w:rPr>
      </w:pPr>
      <w:r>
        <w:rPr>
          <w:rFonts w:ascii="Arial" w:hAnsi="Arial" w:cs="Arial"/>
          <w:sz w:val="22"/>
          <w:szCs w:val="22"/>
        </w:rPr>
        <w:t>a Magyar Honvédség és a rendvédelmi feladatot ellátó szervek hivatásos és szerződéses állományú hallgatója</w:t>
      </w:r>
    </w:p>
    <w:p w:rsidR="00CA5B9A" w:rsidRDefault="00CA5B9A">
      <w:pPr>
        <w:numPr>
          <w:ilvl w:val="0"/>
          <w:numId w:val="5"/>
        </w:numPr>
        <w:jc w:val="both"/>
        <w:rPr>
          <w:rFonts w:ascii="Arial" w:hAnsi="Arial" w:cs="Arial"/>
          <w:sz w:val="22"/>
          <w:szCs w:val="22"/>
        </w:rPr>
      </w:pPr>
      <w:r>
        <w:rPr>
          <w:rFonts w:ascii="Arial" w:hAnsi="Arial" w:cs="Arial"/>
          <w:sz w:val="22"/>
          <w:szCs w:val="22"/>
        </w:rPr>
        <w:t xml:space="preserve">doktori (PhD) képzésben vesz részt </w:t>
      </w:r>
    </w:p>
    <w:p w:rsidR="00CA5B9A" w:rsidRDefault="00CA5B9A">
      <w:pPr>
        <w:numPr>
          <w:ilvl w:val="0"/>
          <w:numId w:val="5"/>
        </w:numPr>
        <w:jc w:val="both"/>
        <w:rPr>
          <w:rFonts w:ascii="Arial" w:hAnsi="Arial" w:cs="Arial"/>
          <w:sz w:val="22"/>
          <w:szCs w:val="22"/>
        </w:rPr>
      </w:pPr>
      <w:r>
        <w:rPr>
          <w:rFonts w:ascii="Arial" w:hAnsi="Arial" w:cs="Arial"/>
          <w:sz w:val="22"/>
          <w:szCs w:val="22"/>
        </w:rPr>
        <w:t>kizárólag külföldi intézménnyel áll hallgatói jogviszonyban.</w:t>
      </w:r>
    </w:p>
    <w:p w:rsidR="00CA5B9A" w:rsidRDefault="00CA5B9A">
      <w:pPr>
        <w:jc w:val="both"/>
        <w:rPr>
          <w:rFonts w:ascii="Arial" w:hAnsi="Arial" w:cs="Arial"/>
          <w:b/>
          <w:bCs/>
          <w:sz w:val="22"/>
          <w:szCs w:val="22"/>
        </w:rPr>
      </w:pPr>
    </w:p>
    <w:p w:rsidR="00CA5B9A" w:rsidRDefault="00CA5B9A">
      <w:pPr>
        <w:jc w:val="both"/>
        <w:rPr>
          <w:rFonts w:ascii="Arial" w:hAnsi="Arial" w:cs="Arial"/>
          <w:sz w:val="22"/>
          <w:szCs w:val="22"/>
        </w:rPr>
      </w:pPr>
      <w:r>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2016/2017. tanévben először nyernek felvételt</w:t>
      </w:r>
      <w:r>
        <w:rPr>
          <w:rFonts w:ascii="Arial" w:hAnsi="Arial" w:cs="Arial"/>
          <w:b/>
          <w:bCs/>
          <w:sz w:val="22"/>
          <w:szCs w:val="22"/>
        </w:rPr>
        <w:t xml:space="preserve"> felsőoktatási intézménybe, és tanulmányaikat a 2016/2017. tanévben ténylegesen megkezdik</w:t>
      </w:r>
      <w:r>
        <w:rPr>
          <w:rFonts w:ascii="Arial" w:hAnsi="Arial" w:cs="Arial"/>
          <w:sz w:val="22"/>
          <w:szCs w:val="22"/>
        </w:rPr>
        <w:t>.</w:t>
      </w:r>
    </w:p>
    <w:p w:rsidR="00CA5B9A" w:rsidRDefault="00CA5B9A">
      <w:pPr>
        <w:jc w:val="both"/>
        <w:rPr>
          <w:rFonts w:ascii="Arial" w:hAnsi="Arial" w:cs="Arial"/>
          <w:sz w:val="22"/>
          <w:szCs w:val="22"/>
        </w:rPr>
      </w:pPr>
    </w:p>
    <w:p w:rsidR="00CA5B9A" w:rsidRDefault="00CA5B9A">
      <w:pPr>
        <w:pStyle w:val="BodyText3"/>
        <w:numPr>
          <w:ilvl w:val="0"/>
          <w:numId w:val="11"/>
        </w:numPr>
        <w:ind w:left="426"/>
        <w:rPr>
          <w:rFonts w:ascii="Arial" w:hAnsi="Arial" w:cs="Arial"/>
          <w:snapToGrid w:val="0"/>
          <w:sz w:val="22"/>
          <w:szCs w:val="22"/>
        </w:rPr>
      </w:pPr>
      <w:r>
        <w:rPr>
          <w:rFonts w:ascii="Arial" w:hAnsi="Arial" w:cs="Arial"/>
          <w:snapToGrid w:val="0"/>
          <w:sz w:val="22"/>
          <w:szCs w:val="22"/>
        </w:rPr>
        <w:t>A pályázat benyújtásának módja és határideje</w:t>
      </w:r>
    </w:p>
    <w:p w:rsidR="00CA5B9A" w:rsidRDefault="00CA5B9A">
      <w:pPr>
        <w:pStyle w:val="BodyText3"/>
        <w:ind w:left="426"/>
        <w:rPr>
          <w:rFonts w:ascii="Arial" w:hAnsi="Arial" w:cs="Arial"/>
          <w:snapToGrid w:val="0"/>
          <w:sz w:val="22"/>
          <w:szCs w:val="22"/>
        </w:rPr>
      </w:pPr>
    </w:p>
    <w:p w:rsidR="00CA5B9A" w:rsidRDefault="00CA5B9A">
      <w:pPr>
        <w:jc w:val="both"/>
        <w:rPr>
          <w:rFonts w:ascii="Arial" w:hAnsi="Arial" w:cs="Arial"/>
          <w:sz w:val="22"/>
          <w:szCs w:val="22"/>
        </w:rPr>
      </w:pPr>
      <w:r>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CA5B9A" w:rsidRDefault="00CA5B9A">
      <w:pPr>
        <w:jc w:val="center"/>
        <w:rPr>
          <w:rFonts w:ascii="Arial" w:hAnsi="Arial" w:cs="Arial"/>
          <w:sz w:val="22"/>
          <w:szCs w:val="22"/>
        </w:rPr>
      </w:pPr>
      <w:hyperlink r:id="rId7" w:history="1">
        <w:r>
          <w:rPr>
            <w:rStyle w:val="Hyperlink"/>
            <w:rFonts w:ascii="Arial" w:hAnsi="Arial" w:cs="Arial"/>
            <w:sz w:val="22"/>
            <w:szCs w:val="22"/>
          </w:rPr>
          <w:t>https://www.eper.hu/eperbursa/paly/palybelep.aspx</w:t>
        </w:r>
      </w:hyperlink>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 xml:space="preserve">Azok a pályázók, akik a korábbi pályázati évben regisztráltak a rendszerben, már nem regisztrálhatnak újra, ők a meglévő felhasználónév és jelszó birtokában léphetnek be az EPER-Bursa rendszerbe. Amennyiben jelszavukat elfelejtették, az </w:t>
      </w:r>
      <w:r>
        <w:rPr>
          <w:rFonts w:ascii="Arial" w:hAnsi="Arial" w:cs="Arial"/>
          <w:i/>
          <w:iCs/>
          <w:sz w:val="22"/>
          <w:szCs w:val="22"/>
        </w:rPr>
        <w:t>Elfelejtett jelszó</w:t>
      </w:r>
      <w:r>
        <w:rPr>
          <w:rFonts w:ascii="Arial" w:hAnsi="Arial" w:cs="Arial"/>
          <w:sz w:val="22"/>
          <w:szCs w:val="22"/>
        </w:rPr>
        <w:t xml:space="preserve"> funkcióval kérhetnek új jelszót. A pályázói regisztrációt vagy a belépést követően lehetséges a pályázati adatok feltöltése a </w:t>
      </w:r>
      <w:r>
        <w:rPr>
          <w:rFonts w:ascii="Arial" w:hAnsi="Arial" w:cs="Arial"/>
          <w:sz w:val="22"/>
          <w:szCs w:val="22"/>
          <w:u w:val="single"/>
        </w:rPr>
        <w:t>csatlakozott önkormányzatok</w:t>
      </w:r>
      <w:r>
        <w:rPr>
          <w:rFonts w:ascii="Arial" w:hAnsi="Arial" w:cs="Arial"/>
          <w:sz w:val="22"/>
          <w:szCs w:val="22"/>
        </w:rPr>
        <w:t xml:space="preserve"> pályázói részére. A személyes és pályázati adatok ellenőrzését, feltöltését követően a </w:t>
      </w:r>
      <w:r>
        <w:rPr>
          <w:rFonts w:ascii="Arial" w:hAnsi="Arial" w:cs="Arial"/>
          <w:sz w:val="22"/>
          <w:szCs w:val="22"/>
          <w:u w:val="single"/>
        </w:rPr>
        <w:t>pályázati űrlapot kinyomtatva és aláírva</w:t>
      </w:r>
      <w:r>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A5B9A" w:rsidRDefault="00CA5B9A">
      <w:pPr>
        <w:spacing w:before="120"/>
        <w:jc w:val="both"/>
        <w:rPr>
          <w:rFonts w:ascii="Arial" w:hAnsi="Arial" w:cs="Arial"/>
          <w:sz w:val="22"/>
          <w:szCs w:val="22"/>
        </w:rPr>
      </w:pPr>
    </w:p>
    <w:p w:rsidR="00CA5B9A" w:rsidRDefault="00CA5B9A">
      <w:pPr>
        <w:jc w:val="center"/>
        <w:rPr>
          <w:rFonts w:ascii="Arial" w:hAnsi="Arial" w:cs="Arial"/>
          <w:b/>
          <w:bCs/>
          <w:sz w:val="22"/>
          <w:szCs w:val="22"/>
        </w:rPr>
      </w:pPr>
      <w:r>
        <w:rPr>
          <w:rFonts w:ascii="Arial" w:hAnsi="Arial" w:cs="Arial"/>
          <w:b/>
          <w:bCs/>
          <w:sz w:val="22"/>
          <w:szCs w:val="22"/>
        </w:rPr>
        <w:t>A pályázat rögzítésének és az önkormányzathoz történő benyújtásának</w:t>
      </w:r>
    </w:p>
    <w:p w:rsidR="00CA5B9A" w:rsidRDefault="00CA5B9A">
      <w:pPr>
        <w:jc w:val="center"/>
        <w:rPr>
          <w:rFonts w:ascii="Arial" w:hAnsi="Arial" w:cs="Arial"/>
          <w:b/>
          <w:bCs/>
          <w:sz w:val="22"/>
          <w:szCs w:val="22"/>
        </w:rPr>
      </w:pPr>
      <w:r>
        <w:rPr>
          <w:rFonts w:ascii="Arial" w:hAnsi="Arial" w:cs="Arial"/>
          <w:b/>
          <w:bCs/>
          <w:sz w:val="22"/>
          <w:szCs w:val="22"/>
        </w:rPr>
        <w:t>határideje: 2015. november 9.</w:t>
      </w:r>
    </w:p>
    <w:p w:rsidR="00CA5B9A" w:rsidRDefault="00CA5B9A">
      <w:pPr>
        <w:pStyle w:val="BodyText3"/>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 pályázatot az EPER-Bursa rendszerben kitöltve, véglegesítve, onnan kinyomtatva, aláírva a lakóhely szerint illetékes települési önkormányzat polgármesteri hivatalánál kell benyújtani.</w:t>
      </w:r>
    </w:p>
    <w:p w:rsidR="00CA5B9A" w:rsidRDefault="00CA5B9A">
      <w:pPr>
        <w:jc w:val="both"/>
        <w:rPr>
          <w:rFonts w:ascii="Arial" w:hAnsi="Arial" w:cs="Arial"/>
          <w:snapToGrid w:val="0"/>
          <w:sz w:val="22"/>
          <w:szCs w:val="22"/>
        </w:rPr>
      </w:pPr>
    </w:p>
    <w:p w:rsidR="00CA5B9A" w:rsidRDefault="00CA5B9A">
      <w:pPr>
        <w:rPr>
          <w:rFonts w:ascii="Arial" w:hAnsi="Arial" w:cs="Arial"/>
          <w:b/>
          <w:bCs/>
          <w:sz w:val="22"/>
          <w:szCs w:val="22"/>
          <w:u w:val="single"/>
        </w:rPr>
      </w:pPr>
      <w:r>
        <w:rPr>
          <w:rFonts w:ascii="Arial" w:hAnsi="Arial" w:cs="Arial"/>
          <w:b/>
          <w:bCs/>
          <w:sz w:val="22"/>
          <w:szCs w:val="22"/>
          <w:u w:val="single"/>
        </w:rPr>
        <w:t>A pályázat kötelező mellékletei:</w:t>
      </w:r>
    </w:p>
    <w:p w:rsidR="00CA5B9A" w:rsidRDefault="00CA5B9A">
      <w:pPr>
        <w:rPr>
          <w:rFonts w:ascii="Arial" w:hAnsi="Arial" w:cs="Arial"/>
          <w:b/>
          <w:bCs/>
          <w:sz w:val="22"/>
          <w:szCs w:val="22"/>
          <w:u w:val="single"/>
        </w:rPr>
      </w:pPr>
    </w:p>
    <w:p w:rsidR="00CA5B9A" w:rsidRDefault="00CA5B9A">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Igazolás a pályázó és a pályázóval egy háztartásban élők egy főre jutó havi nettó jövedelméről.</w:t>
      </w:r>
    </w:p>
    <w:p w:rsidR="00CA5B9A" w:rsidRDefault="00CA5B9A">
      <w:pPr>
        <w:pStyle w:val="BodyText"/>
        <w:rPr>
          <w:rFonts w:ascii="Arial" w:hAnsi="Arial" w:cs="Arial"/>
          <w:b/>
          <w:bCs/>
          <w:sz w:val="22"/>
          <w:szCs w:val="22"/>
        </w:rPr>
      </w:pPr>
    </w:p>
    <w:p w:rsidR="00CA5B9A" w:rsidRDefault="00CA5B9A">
      <w:pPr>
        <w:pStyle w:val="BodyText"/>
        <w:rPr>
          <w:rFonts w:ascii="Arial" w:hAnsi="Arial" w:cs="Arial"/>
          <w:b/>
          <w:bCs/>
          <w:sz w:val="22"/>
          <w:szCs w:val="22"/>
        </w:rPr>
      </w:pPr>
      <w:r>
        <w:rPr>
          <w:rFonts w:ascii="Arial" w:hAnsi="Arial" w:cs="Arial"/>
          <w:b/>
          <w:bCs/>
          <w:sz w:val="22"/>
          <w:szCs w:val="22"/>
        </w:rPr>
        <w:t>2.</w:t>
      </w:r>
      <w:r>
        <w:rPr>
          <w:rFonts w:ascii="Arial" w:hAnsi="Arial" w:cs="Arial"/>
          <w:b/>
          <w:bCs/>
          <w:sz w:val="22"/>
          <w:szCs w:val="22"/>
        </w:rPr>
        <w:tab/>
        <w:t>A szociális rászorultság igazolására az alábbi okiratok:</w:t>
      </w:r>
    </w:p>
    <w:p w:rsidR="00CA5B9A" w:rsidRDefault="00CA5B9A">
      <w:pPr>
        <w:numPr>
          <w:ilvl w:val="0"/>
          <w:numId w:val="21"/>
        </w:numPr>
        <w:jc w:val="both"/>
        <w:rPr>
          <w:rFonts w:ascii="Arial" w:hAnsi="Arial" w:cs="Arial"/>
          <w:b/>
          <w:bCs/>
          <w:sz w:val="22"/>
          <w:szCs w:val="22"/>
        </w:rPr>
      </w:pPr>
      <w:r>
        <w:rPr>
          <w:rFonts w:ascii="Arial" w:hAnsi="Arial" w:cs="Arial"/>
          <w:b/>
          <w:bCs/>
          <w:sz w:val="22"/>
          <w:szCs w:val="22"/>
        </w:rPr>
        <w:t xml:space="preserve">A települési támogatásról, gyermekvédelmi ellátásokról, valamint a személyes gondoskodást nyújtó ellátásokról szóló 2/2015.(II.25.) önkormányzati rendelet </w:t>
      </w:r>
    </w:p>
    <w:p w:rsidR="00CA5B9A" w:rsidRDefault="00CA5B9A">
      <w:pPr>
        <w:ind w:left="360" w:firstLine="348"/>
        <w:jc w:val="both"/>
        <w:rPr>
          <w:rFonts w:ascii="Arial" w:hAnsi="Arial" w:cs="Arial"/>
          <w:b/>
          <w:bCs/>
          <w:sz w:val="22"/>
          <w:szCs w:val="22"/>
        </w:rPr>
      </w:pPr>
      <w:r>
        <w:rPr>
          <w:rFonts w:ascii="Arial" w:hAnsi="Arial" w:cs="Arial"/>
          <w:b/>
          <w:bCs/>
          <w:sz w:val="22"/>
          <w:szCs w:val="22"/>
        </w:rPr>
        <w:t>1. számú melléklete</w:t>
      </w:r>
    </w:p>
    <w:p w:rsidR="00CA5B9A" w:rsidRDefault="00CA5B9A">
      <w:pPr>
        <w:jc w:val="both"/>
        <w:rPr>
          <w:rFonts w:ascii="Arial" w:hAnsi="Arial" w:cs="Arial"/>
          <w:sz w:val="22"/>
          <w:szCs w:val="22"/>
        </w:rPr>
      </w:pPr>
      <w:r>
        <w:rPr>
          <w:rFonts w:ascii="Arial" w:hAnsi="Arial" w:cs="Arial"/>
          <w:sz w:val="22"/>
          <w:szCs w:val="22"/>
        </w:rPr>
        <w:t>A további mellékleteket az elbíráló települési önkormányzat határozza meg.</w:t>
      </w:r>
    </w:p>
    <w:p w:rsidR="00CA5B9A" w:rsidRDefault="00CA5B9A">
      <w:pPr>
        <w:rPr>
          <w:rFonts w:ascii="Arial" w:hAnsi="Arial" w:cs="Arial"/>
          <w:b/>
          <w:bCs/>
          <w:sz w:val="22"/>
          <w:szCs w:val="22"/>
          <w:u w:val="single"/>
        </w:rPr>
      </w:pPr>
    </w:p>
    <w:p w:rsidR="00CA5B9A" w:rsidRDefault="00CA5B9A">
      <w:pPr>
        <w:jc w:val="both"/>
        <w:rPr>
          <w:rFonts w:ascii="Arial" w:hAnsi="Arial" w:cs="Arial"/>
          <w:b/>
          <w:bCs/>
          <w:sz w:val="22"/>
          <w:szCs w:val="22"/>
        </w:rPr>
      </w:pPr>
      <w:r>
        <w:rPr>
          <w:rFonts w:ascii="Arial" w:hAnsi="Arial" w:cs="Arial"/>
          <w:b/>
          <w:bCs/>
          <w:sz w:val="22"/>
          <w:szCs w:val="22"/>
        </w:rPr>
        <w:t>A pályázati űrlap csak a fent meghatározott kötelező mellékletekkel együtt érvényes, valamely melléklet hiányában a pályázat formai hibásnak minősül.</w:t>
      </w:r>
    </w:p>
    <w:p w:rsidR="00CA5B9A" w:rsidRDefault="00CA5B9A">
      <w:pPr>
        <w:jc w:val="both"/>
        <w:rPr>
          <w:rFonts w:ascii="Arial" w:hAnsi="Arial" w:cs="Arial"/>
          <w:sz w:val="22"/>
          <w:szCs w:val="22"/>
        </w:rPr>
      </w:pPr>
    </w:p>
    <w:p w:rsidR="00CA5B9A" w:rsidRDefault="00CA5B9A">
      <w:pPr>
        <w:jc w:val="both"/>
        <w:rPr>
          <w:rFonts w:ascii="Arial" w:hAnsi="Arial" w:cs="Arial"/>
          <w:i/>
          <w:iCs/>
          <w:sz w:val="22"/>
          <w:szCs w:val="22"/>
        </w:rPr>
      </w:pPr>
      <w:r>
        <w:rPr>
          <w:rFonts w:ascii="Arial" w:hAnsi="Arial" w:cs="Arial"/>
          <w:b/>
          <w:bCs/>
          <w:i/>
          <w:iCs/>
          <w:sz w:val="22"/>
          <w:szCs w:val="22"/>
          <w:u w:val="single"/>
        </w:rPr>
        <w:t>Egy háztartásban élők:</w:t>
      </w:r>
      <w:r>
        <w:rPr>
          <w:rFonts w:ascii="Arial" w:hAnsi="Arial" w:cs="Arial"/>
          <w:i/>
          <w:iCs/>
          <w:sz w:val="22"/>
          <w:szCs w:val="22"/>
        </w:rPr>
        <w:t>a pályázó állandó lakóhelye szerinti lakásban életvitelszerűen együttlakó, ott bejelentett vagy tartózkodási hellyel rendelkező személyek.</w:t>
      </w:r>
    </w:p>
    <w:p w:rsidR="00CA5B9A" w:rsidRDefault="00CA5B9A">
      <w:pPr>
        <w:jc w:val="both"/>
        <w:rPr>
          <w:rFonts w:ascii="Arial" w:hAnsi="Arial" w:cs="Arial"/>
          <w:i/>
          <w:iCs/>
          <w:sz w:val="22"/>
          <w:szCs w:val="22"/>
        </w:rPr>
      </w:pPr>
    </w:p>
    <w:p w:rsidR="00CA5B9A" w:rsidRDefault="00CA5B9A">
      <w:pPr>
        <w:pStyle w:val="FootnoteText"/>
        <w:jc w:val="both"/>
        <w:rPr>
          <w:rFonts w:ascii="Arial" w:hAnsi="Arial" w:cs="Arial"/>
          <w:i/>
          <w:iCs/>
          <w:sz w:val="22"/>
          <w:szCs w:val="22"/>
        </w:rPr>
      </w:pPr>
      <w:r>
        <w:rPr>
          <w:rFonts w:ascii="Arial" w:hAnsi="Arial" w:cs="Arial"/>
          <w:b/>
          <w:bCs/>
          <w:i/>
          <w:iCs/>
          <w:sz w:val="22"/>
          <w:szCs w:val="22"/>
          <w:u w:val="single"/>
        </w:rPr>
        <w:t>Jövedelem:</w:t>
      </w:r>
    </w:p>
    <w:p w:rsidR="00CA5B9A" w:rsidRDefault="00CA5B9A">
      <w:pPr>
        <w:autoSpaceDE w:val="0"/>
        <w:autoSpaceDN w:val="0"/>
        <w:adjustRightInd w:val="0"/>
        <w:jc w:val="both"/>
        <w:rPr>
          <w:rFonts w:ascii="Arial" w:hAnsi="Arial" w:cs="Arial"/>
          <w:i/>
          <w:iCs/>
          <w:sz w:val="22"/>
          <w:szCs w:val="22"/>
        </w:rPr>
      </w:pPr>
      <w:r>
        <w:rPr>
          <w:rFonts w:ascii="Arial" w:hAnsi="Arial" w:cs="Arial"/>
          <w:i/>
          <w:iCs/>
          <w:sz w:val="22"/>
          <w:szCs w:val="22"/>
        </w:rPr>
        <w:t>A szociális igazgatásról és szociális ellátásokról szóló 1993. évi III. törvény 4. § (1) bekezdés a) pontja alapján az elismert költségekkel és a befizetési kötelezettséggel csökkentett</w:t>
      </w:r>
    </w:p>
    <w:p w:rsidR="00CA5B9A" w:rsidRDefault="00CA5B9A">
      <w:pPr>
        <w:autoSpaceDE w:val="0"/>
        <w:autoSpaceDN w:val="0"/>
        <w:adjustRightInd w:val="0"/>
        <w:ind w:left="900" w:hanging="191"/>
        <w:jc w:val="both"/>
        <w:rPr>
          <w:rFonts w:ascii="Arial" w:hAnsi="Arial" w:cs="Arial"/>
          <w:i/>
          <w:iCs/>
          <w:sz w:val="22"/>
          <w:szCs w:val="22"/>
        </w:rPr>
      </w:pPr>
      <w:r>
        <w:rPr>
          <w:rFonts w:ascii="Arial" w:hAnsi="Arial" w:cs="Arial"/>
          <w:i/>
          <w:iCs/>
          <w:sz w:val="22"/>
          <w:szCs w:val="22"/>
        </w:rPr>
        <w:t>- a személyi jövedelemadóról szóló 1995. évi CXVII. törvény szerint meghatározott, belföldről vagy külföldről származó - megszerzett - vagyoni érték (bevétel), ideértve a jövedelemként figyelembe nem vett bevételt és az adómentes jövedelmet is, és</w:t>
      </w:r>
    </w:p>
    <w:p w:rsidR="00CA5B9A" w:rsidRDefault="00CA5B9A">
      <w:pPr>
        <w:autoSpaceDE w:val="0"/>
        <w:autoSpaceDN w:val="0"/>
        <w:adjustRightInd w:val="0"/>
        <w:ind w:left="900" w:hanging="191"/>
        <w:jc w:val="both"/>
        <w:rPr>
          <w:rFonts w:ascii="Arial" w:hAnsi="Arial" w:cs="Arial"/>
          <w:i/>
          <w:iCs/>
          <w:sz w:val="22"/>
          <w:szCs w:val="22"/>
        </w:rPr>
      </w:pPr>
      <w:r>
        <w:rPr>
          <w:rFonts w:ascii="Arial" w:hAnsi="Arial" w:cs="Arial"/>
          <w:i/>
          <w:iCs/>
          <w:sz w:val="22"/>
          <w:szCs w:val="22"/>
        </w:rPr>
        <w:t>- az a bevétel, amely után az egyszerűsített vállalkozói adóról, illetve az egyszerűsített közteherviselési hozzájárulásról szóló törvény szerint adót, illetve hozzájárulást kell fizetni.</w:t>
      </w:r>
    </w:p>
    <w:p w:rsidR="00CA5B9A" w:rsidRDefault="00CA5B9A">
      <w:pPr>
        <w:autoSpaceDE w:val="0"/>
        <w:autoSpaceDN w:val="0"/>
        <w:adjustRightInd w:val="0"/>
        <w:ind w:left="900" w:hanging="191"/>
        <w:jc w:val="both"/>
        <w:rPr>
          <w:rFonts w:ascii="Arial" w:hAnsi="Arial" w:cs="Arial"/>
          <w:i/>
          <w:iCs/>
          <w:sz w:val="22"/>
          <w:szCs w:val="22"/>
        </w:rPr>
      </w:pPr>
    </w:p>
    <w:p w:rsidR="00CA5B9A" w:rsidRDefault="00CA5B9A">
      <w:pPr>
        <w:autoSpaceDE w:val="0"/>
        <w:autoSpaceDN w:val="0"/>
        <w:adjustRightInd w:val="0"/>
        <w:jc w:val="both"/>
        <w:rPr>
          <w:rFonts w:ascii="Arial" w:hAnsi="Arial" w:cs="Arial"/>
          <w:i/>
          <w:iCs/>
          <w:sz w:val="22"/>
          <w:szCs w:val="22"/>
        </w:rPr>
      </w:pPr>
      <w:r>
        <w:rPr>
          <w:rFonts w:ascii="Arial" w:hAnsi="Arial" w:cs="Arial"/>
          <w:b/>
          <w:bCs/>
          <w:i/>
          <w:iCs/>
          <w:sz w:val="22"/>
          <w:szCs w:val="22"/>
          <w:u w:val="single"/>
        </w:rPr>
        <w:t>Elismert költségnek</w:t>
      </w:r>
      <w:r>
        <w:rPr>
          <w:rFonts w:ascii="Arial" w:hAnsi="Arial" w:cs="Arial"/>
          <w:i/>
          <w:iCs/>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CA5B9A" w:rsidRDefault="00CA5B9A">
      <w:pPr>
        <w:autoSpaceDE w:val="0"/>
        <w:autoSpaceDN w:val="0"/>
        <w:adjustRightInd w:val="0"/>
        <w:jc w:val="both"/>
        <w:rPr>
          <w:rFonts w:ascii="Arial" w:hAnsi="Arial" w:cs="Arial"/>
          <w:i/>
          <w:iCs/>
          <w:sz w:val="22"/>
          <w:szCs w:val="22"/>
        </w:rPr>
      </w:pPr>
    </w:p>
    <w:p w:rsidR="00CA5B9A" w:rsidRDefault="00CA5B9A">
      <w:pPr>
        <w:autoSpaceDE w:val="0"/>
        <w:autoSpaceDN w:val="0"/>
        <w:adjustRightInd w:val="0"/>
        <w:jc w:val="both"/>
        <w:rPr>
          <w:rFonts w:ascii="Arial" w:hAnsi="Arial" w:cs="Arial"/>
          <w:i/>
          <w:iCs/>
          <w:sz w:val="22"/>
          <w:szCs w:val="22"/>
        </w:rPr>
      </w:pPr>
      <w:r>
        <w:rPr>
          <w:rFonts w:ascii="Arial" w:hAnsi="Arial" w:cs="Arial"/>
          <w:b/>
          <w:bCs/>
          <w:i/>
          <w:iCs/>
          <w:sz w:val="22"/>
          <w:szCs w:val="22"/>
          <w:u w:val="single"/>
        </w:rPr>
        <w:t>Befizetési kötelezettségnek</w:t>
      </w:r>
      <w:r>
        <w:rPr>
          <w:rFonts w:ascii="Arial" w:hAnsi="Arial" w:cs="Arial"/>
          <w:i/>
          <w:iCs/>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CA5B9A" w:rsidRDefault="00CA5B9A">
      <w:pPr>
        <w:autoSpaceDE w:val="0"/>
        <w:autoSpaceDN w:val="0"/>
        <w:adjustRightInd w:val="0"/>
        <w:jc w:val="both"/>
        <w:rPr>
          <w:rFonts w:ascii="Arial" w:hAnsi="Arial" w:cs="Arial"/>
          <w:i/>
          <w:iCs/>
          <w:sz w:val="22"/>
          <w:szCs w:val="22"/>
        </w:rPr>
      </w:pPr>
    </w:p>
    <w:p w:rsidR="00CA5B9A" w:rsidRDefault="00CA5B9A">
      <w:pPr>
        <w:autoSpaceDE w:val="0"/>
        <w:autoSpaceDN w:val="0"/>
        <w:adjustRightInd w:val="0"/>
        <w:jc w:val="both"/>
        <w:rPr>
          <w:rFonts w:ascii="Arial" w:hAnsi="Arial" w:cs="Arial"/>
          <w:b/>
          <w:bCs/>
          <w:i/>
          <w:iCs/>
          <w:sz w:val="22"/>
          <w:szCs w:val="22"/>
          <w:u w:val="single"/>
        </w:rPr>
      </w:pPr>
      <w:r>
        <w:rPr>
          <w:rFonts w:ascii="Arial" w:hAnsi="Arial" w:cs="Arial"/>
          <w:b/>
          <w:bCs/>
          <w:i/>
          <w:iCs/>
          <w:sz w:val="22"/>
          <w:szCs w:val="22"/>
          <w:u w:val="single"/>
        </w:rPr>
        <w:t>Nem minősül jövedelemnek</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a temetési segély, az alkalmanként adott átmeneti segély, az önkormányzati segély, rendkívüli települési támogatás, a lakásfenntartási támogatás, az adósságcsökkentési támogatás,</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 xml:space="preserve"> az anyasági támogatás,</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 xml:space="preserve"> a tizenharmadik havi nyugdíj és a szépkorúak jubileumi juttatása,</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a fogadó szervezet által az önkéntesnek külön törvény alapján biztosított juttatás,</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 xml:space="preserve"> a házi segítségnyújtás keretében társadalmi gondozásért kapott tiszteletdíj,</w:t>
      </w:r>
    </w:p>
    <w:p w:rsidR="00CA5B9A" w:rsidRDefault="00CA5B9A">
      <w:pPr>
        <w:pStyle w:val="BodyText"/>
        <w:numPr>
          <w:ilvl w:val="0"/>
          <w:numId w:val="9"/>
        </w:numPr>
        <w:spacing w:before="120"/>
        <w:rPr>
          <w:rFonts w:ascii="Arial" w:hAnsi="Arial" w:cs="Arial"/>
          <w:i/>
          <w:iCs/>
          <w:sz w:val="22"/>
          <w:szCs w:val="22"/>
        </w:rPr>
      </w:pPr>
      <w:r>
        <w:rPr>
          <w:rFonts w:ascii="Arial" w:hAnsi="Arial" w:cs="Arial"/>
          <w:i/>
          <w:iCs/>
          <w:snapToGrid w:val="0"/>
          <w:sz w:val="22"/>
          <w:szCs w:val="22"/>
        </w:rPr>
        <w:t xml:space="preserve"> az energiafelhasználáshoz</w:t>
      </w:r>
      <w:r>
        <w:rPr>
          <w:rFonts w:ascii="Arial" w:hAnsi="Arial" w:cs="Arial"/>
          <w:i/>
          <w:iCs/>
          <w:sz w:val="22"/>
          <w:szCs w:val="22"/>
        </w:rPr>
        <w:t xml:space="preserve"> nyújtott támogatás;</w:t>
      </w:r>
    </w:p>
    <w:p w:rsidR="00CA5B9A" w:rsidRDefault="00CA5B9A">
      <w:pPr>
        <w:pStyle w:val="BodyText"/>
        <w:numPr>
          <w:ilvl w:val="0"/>
          <w:numId w:val="9"/>
        </w:numPr>
        <w:spacing w:before="120"/>
        <w:rPr>
          <w:rFonts w:ascii="Arial" w:hAnsi="Arial" w:cs="Arial"/>
          <w:i/>
          <w:iCs/>
          <w:snapToGrid w:val="0"/>
          <w:sz w:val="22"/>
          <w:szCs w:val="22"/>
        </w:rPr>
      </w:pPr>
      <w:r>
        <w:rPr>
          <w:rFonts w:ascii="Arial" w:hAnsi="Arial" w:cs="Arial"/>
          <w:i/>
          <w:iCs/>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CA5B9A" w:rsidRDefault="00CA5B9A">
      <w:pPr>
        <w:autoSpaceDE w:val="0"/>
        <w:autoSpaceDN w:val="0"/>
        <w:adjustRightInd w:val="0"/>
        <w:ind w:left="612" w:hanging="204"/>
        <w:jc w:val="both"/>
        <w:rPr>
          <w:rFonts w:ascii="Arial" w:hAnsi="Arial" w:cs="Arial"/>
          <w:i/>
          <w:iCs/>
          <w:sz w:val="22"/>
          <w:szCs w:val="22"/>
        </w:rPr>
      </w:pPr>
    </w:p>
    <w:p w:rsidR="00CA5B9A" w:rsidRDefault="00CA5B9A">
      <w:pPr>
        <w:jc w:val="both"/>
        <w:rPr>
          <w:rFonts w:ascii="Arial" w:hAnsi="Arial" w:cs="Arial"/>
          <w:sz w:val="22"/>
          <w:szCs w:val="22"/>
        </w:rPr>
      </w:pPr>
    </w:p>
    <w:p w:rsidR="00CA5B9A" w:rsidRDefault="00CA5B9A">
      <w:pPr>
        <w:jc w:val="both"/>
        <w:rPr>
          <w:rFonts w:ascii="Arial" w:hAnsi="Arial" w:cs="Arial"/>
          <w:b/>
          <w:bCs/>
          <w:snapToGrid w:val="0"/>
          <w:sz w:val="22"/>
          <w:szCs w:val="22"/>
        </w:rPr>
      </w:pPr>
      <w:r>
        <w:rPr>
          <w:rFonts w:ascii="Arial" w:hAnsi="Arial" w:cs="Arial"/>
          <w:b/>
          <w:bCs/>
          <w:sz w:val="22"/>
          <w:szCs w:val="22"/>
        </w:rPr>
        <w:t xml:space="preserve">4. </w:t>
      </w:r>
      <w:r>
        <w:rPr>
          <w:rFonts w:ascii="Arial" w:hAnsi="Arial" w:cs="Arial"/>
          <w:b/>
          <w:bCs/>
          <w:snapToGrid w:val="0"/>
          <w:sz w:val="22"/>
          <w:szCs w:val="22"/>
        </w:rPr>
        <w:t>Adatkezelés</w:t>
      </w:r>
    </w:p>
    <w:p w:rsidR="00CA5B9A" w:rsidRDefault="00CA5B9A">
      <w:pPr>
        <w:jc w:val="both"/>
        <w:rPr>
          <w:rFonts w:ascii="Arial" w:hAnsi="Arial" w:cs="Arial"/>
          <w:b/>
          <w:bCs/>
          <w:snapToGrid w:val="0"/>
          <w:sz w:val="22"/>
          <w:szCs w:val="22"/>
        </w:rPr>
      </w:pPr>
    </w:p>
    <w:p w:rsidR="00CA5B9A" w:rsidRDefault="00CA5B9A">
      <w:pPr>
        <w:jc w:val="both"/>
        <w:rPr>
          <w:rFonts w:ascii="Arial" w:hAnsi="Arial" w:cs="Arial"/>
          <w:snapToGrid w:val="0"/>
          <w:sz w:val="22"/>
          <w:szCs w:val="22"/>
        </w:rPr>
      </w:pPr>
      <w:r>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CA5B9A" w:rsidRDefault="00CA5B9A">
      <w:pPr>
        <w:jc w:val="both"/>
        <w:rPr>
          <w:rFonts w:ascii="Arial" w:hAnsi="Arial" w:cs="Arial"/>
          <w:b/>
          <w:bCs/>
          <w:snapToGrid w:val="0"/>
          <w:sz w:val="22"/>
          <w:szCs w:val="22"/>
        </w:rPr>
      </w:pPr>
    </w:p>
    <w:p w:rsidR="00CA5B9A" w:rsidRDefault="00CA5B9A">
      <w:pPr>
        <w:pStyle w:val="BodyText"/>
        <w:spacing w:before="120"/>
        <w:rPr>
          <w:rFonts w:ascii="Arial" w:hAnsi="Arial" w:cs="Arial"/>
          <w:snapToGrid w:val="0"/>
          <w:sz w:val="22"/>
          <w:szCs w:val="22"/>
        </w:rPr>
      </w:pPr>
      <w:r>
        <w:rPr>
          <w:rFonts w:ascii="Arial" w:hAnsi="Arial" w:cs="Arial"/>
          <w:snapToGrid w:val="0"/>
          <w:sz w:val="22"/>
          <w:szCs w:val="22"/>
        </w:rPr>
        <w:t>A pályázó pályázata benyújtásával hozzájárul ahhoz, hogy:</w:t>
      </w:r>
    </w:p>
    <w:p w:rsidR="00CA5B9A" w:rsidRDefault="00CA5B9A">
      <w:pPr>
        <w:pStyle w:val="BodyText"/>
        <w:numPr>
          <w:ilvl w:val="0"/>
          <w:numId w:val="17"/>
        </w:numPr>
        <w:spacing w:before="120"/>
        <w:rPr>
          <w:rFonts w:ascii="Arial" w:hAnsi="Arial" w:cs="Arial"/>
          <w:sz w:val="22"/>
          <w:szCs w:val="22"/>
        </w:rPr>
      </w:pPr>
      <w:r>
        <w:rPr>
          <w:rFonts w:ascii="Arial" w:hAnsi="Arial" w:cs="Arial"/>
          <w:snapToGrid w:val="0"/>
          <w:sz w:val="22"/>
          <w:szCs w:val="22"/>
        </w:rPr>
        <w:t xml:space="preserve">a pályázati űrlapon rögzített személyes adatait </w:t>
      </w:r>
      <w:r>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A5B9A" w:rsidRDefault="00CA5B9A">
      <w:pPr>
        <w:pStyle w:val="BodyText"/>
        <w:numPr>
          <w:ilvl w:val="0"/>
          <w:numId w:val="17"/>
        </w:numPr>
        <w:spacing w:before="120"/>
        <w:rPr>
          <w:rFonts w:ascii="Arial" w:hAnsi="Arial" w:cs="Arial"/>
          <w:sz w:val="22"/>
          <w:szCs w:val="22"/>
        </w:rPr>
      </w:pPr>
      <w:r>
        <w:rPr>
          <w:rFonts w:ascii="Arial" w:hAnsi="Arial" w:cs="Arial"/>
          <w:sz w:val="22"/>
          <w:szCs w:val="22"/>
        </w:rPr>
        <w:t>a Támogatáskezelő személyes adatait az ösztöndíjpályázat lebonyolítása és a támogatásra való jogosultság ellenőrzése céljából az ösztöndíj időtartama alatt kezelje;</w:t>
      </w:r>
    </w:p>
    <w:p w:rsidR="00CA5B9A" w:rsidRDefault="00CA5B9A">
      <w:pPr>
        <w:numPr>
          <w:ilvl w:val="0"/>
          <w:numId w:val="17"/>
        </w:numPr>
        <w:spacing w:before="120"/>
        <w:jc w:val="both"/>
        <w:rPr>
          <w:rFonts w:ascii="Arial" w:hAnsi="Arial" w:cs="Arial"/>
          <w:snapToGrid w:val="0"/>
          <w:sz w:val="22"/>
          <w:szCs w:val="22"/>
        </w:rPr>
      </w:pPr>
      <w:r>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CA5B9A" w:rsidRDefault="00CA5B9A">
      <w:pPr>
        <w:pStyle w:val="BodyText"/>
        <w:numPr>
          <w:ilvl w:val="0"/>
          <w:numId w:val="17"/>
        </w:numPr>
        <w:spacing w:before="120"/>
        <w:rPr>
          <w:rFonts w:ascii="Arial" w:hAnsi="Arial" w:cs="Arial"/>
          <w:sz w:val="22"/>
          <w:szCs w:val="22"/>
        </w:rPr>
      </w:pPr>
      <w:r>
        <w:rPr>
          <w:rFonts w:ascii="Arial" w:hAnsi="Arial" w:cs="Arial"/>
          <w:snapToGrid w:val="0"/>
          <w:sz w:val="22"/>
          <w:szCs w:val="22"/>
        </w:rPr>
        <w:t>a felsőoktatási intézmény hallgatói jogviszonyáról a Támogatáskezelőnek, illetve a támogató önkormányzatnak tájékoztatást nyújtson,</w:t>
      </w:r>
    </w:p>
    <w:p w:rsidR="00CA5B9A" w:rsidRDefault="00CA5B9A">
      <w:pPr>
        <w:pStyle w:val="BodyText"/>
        <w:numPr>
          <w:ilvl w:val="0"/>
          <w:numId w:val="17"/>
        </w:numPr>
        <w:spacing w:before="120"/>
        <w:rPr>
          <w:rFonts w:ascii="Arial" w:hAnsi="Arial" w:cs="Arial"/>
          <w:sz w:val="22"/>
          <w:szCs w:val="22"/>
        </w:rPr>
      </w:pPr>
      <w:r>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A5B9A" w:rsidRDefault="00CA5B9A">
      <w:pPr>
        <w:pStyle w:val="BodyText"/>
        <w:spacing w:before="120"/>
        <w:ind w:left="420"/>
        <w:rPr>
          <w:rFonts w:ascii="Arial" w:hAnsi="Arial" w:cs="Arial"/>
          <w:sz w:val="22"/>
          <w:szCs w:val="22"/>
        </w:rPr>
      </w:pPr>
    </w:p>
    <w:p w:rsidR="00CA5B9A" w:rsidRDefault="00CA5B9A">
      <w:pPr>
        <w:pStyle w:val="BodyText"/>
        <w:rPr>
          <w:rFonts w:ascii="Arial" w:hAnsi="Arial" w:cs="Arial"/>
          <w:snapToGrid w:val="0"/>
          <w:sz w:val="22"/>
          <w:szCs w:val="22"/>
        </w:rPr>
      </w:pPr>
      <w:r>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CA5B9A" w:rsidRDefault="00CA5B9A">
      <w:pPr>
        <w:jc w:val="both"/>
        <w:rPr>
          <w:rFonts w:ascii="Arial" w:hAnsi="Arial" w:cs="Arial"/>
          <w:sz w:val="22"/>
          <w:szCs w:val="22"/>
        </w:rPr>
      </w:pPr>
    </w:p>
    <w:p w:rsidR="00CA5B9A" w:rsidRDefault="00CA5B9A">
      <w:pPr>
        <w:jc w:val="both"/>
        <w:rPr>
          <w:rFonts w:ascii="Arial" w:hAnsi="Arial" w:cs="Arial"/>
          <w:b/>
          <w:bCs/>
          <w:sz w:val="22"/>
          <w:szCs w:val="22"/>
        </w:rPr>
      </w:pPr>
      <w:r>
        <w:rPr>
          <w:rFonts w:ascii="Arial" w:hAnsi="Arial" w:cs="Arial"/>
          <w:b/>
          <w:bCs/>
          <w:sz w:val="22"/>
          <w:szCs w:val="22"/>
        </w:rPr>
        <w:t>5. A pályázat elbírálása</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 beérkezett pályázatokat az illetékes települési önkormányzat bírálja el 2015. december 7-ig:</w:t>
      </w:r>
    </w:p>
    <w:p w:rsidR="00CA5B9A" w:rsidRDefault="00CA5B9A">
      <w:pPr>
        <w:jc w:val="both"/>
        <w:rPr>
          <w:rFonts w:ascii="Arial" w:hAnsi="Arial" w:cs="Arial"/>
          <w:sz w:val="22"/>
          <w:szCs w:val="22"/>
        </w:rPr>
      </w:pPr>
    </w:p>
    <w:p w:rsidR="00CA5B9A" w:rsidRDefault="00CA5B9A">
      <w:pPr>
        <w:ind w:left="426"/>
        <w:jc w:val="both"/>
        <w:rPr>
          <w:rFonts w:ascii="Arial" w:hAnsi="Arial" w:cs="Arial"/>
          <w:sz w:val="22"/>
          <w:szCs w:val="22"/>
        </w:rPr>
      </w:pPr>
      <w:r>
        <w:rPr>
          <w:rFonts w:ascii="Arial" w:hAnsi="Arial"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Pr>
          <w:rFonts w:ascii="Arial" w:hAnsi="Arial" w:cs="Arial"/>
          <w:b/>
          <w:bCs/>
          <w:sz w:val="22"/>
          <w:szCs w:val="22"/>
        </w:rPr>
        <w:t>A hiánypótlási határidő: 2015. november 16.;</w:t>
      </w:r>
    </w:p>
    <w:p w:rsidR="00CA5B9A" w:rsidRDefault="00CA5B9A">
      <w:pPr>
        <w:pStyle w:val="ListParagraph"/>
        <w:jc w:val="both"/>
        <w:rPr>
          <w:rFonts w:ascii="Arial" w:hAnsi="Arial" w:cs="Arial"/>
          <w:sz w:val="22"/>
          <w:szCs w:val="22"/>
        </w:rPr>
      </w:pPr>
    </w:p>
    <w:p w:rsidR="00CA5B9A" w:rsidRDefault="00CA5B9A">
      <w:pPr>
        <w:pStyle w:val="BodyText"/>
        <w:spacing w:before="120"/>
        <w:ind w:left="420"/>
        <w:rPr>
          <w:rFonts w:ascii="Arial" w:hAnsi="Arial" w:cs="Arial"/>
          <w:snapToGrid w:val="0"/>
          <w:sz w:val="22"/>
          <w:szCs w:val="22"/>
        </w:rPr>
      </w:pPr>
      <w:r>
        <w:rPr>
          <w:rFonts w:ascii="Arial" w:hAnsi="Arial"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CA5B9A" w:rsidRDefault="00CA5B9A">
      <w:pPr>
        <w:pStyle w:val="BodyText"/>
        <w:spacing w:before="120"/>
        <w:ind w:left="420"/>
        <w:rPr>
          <w:rFonts w:ascii="Arial" w:hAnsi="Arial" w:cs="Arial"/>
          <w:snapToGrid w:val="0"/>
          <w:sz w:val="22"/>
          <w:szCs w:val="22"/>
        </w:rPr>
      </w:pPr>
      <w:r>
        <w:rPr>
          <w:rFonts w:ascii="Arial" w:hAnsi="Arial" w:cs="Arial"/>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rsidR="00CA5B9A" w:rsidRDefault="00CA5B9A">
      <w:pPr>
        <w:pStyle w:val="BodyText"/>
        <w:spacing w:before="120"/>
        <w:ind w:left="420"/>
        <w:rPr>
          <w:rFonts w:ascii="Arial" w:hAnsi="Arial" w:cs="Arial"/>
          <w:snapToGrid w:val="0"/>
          <w:sz w:val="22"/>
          <w:szCs w:val="22"/>
        </w:rPr>
      </w:pPr>
      <w:r>
        <w:rPr>
          <w:rFonts w:ascii="Arial" w:hAnsi="Arial" w:cs="Arial"/>
          <w:snapToGrid w:val="0"/>
          <w:sz w:val="22"/>
          <w:szCs w:val="22"/>
        </w:rPr>
        <w:t>d) minden határidőn belül benyújtott, formailag megfelelő pályázatot érdemben elbírál, és döntését írásban indokolja;</w:t>
      </w:r>
    </w:p>
    <w:p w:rsidR="00CA5B9A" w:rsidRDefault="00CA5B9A">
      <w:pPr>
        <w:pStyle w:val="BodyText"/>
        <w:spacing w:before="120"/>
        <w:ind w:left="420"/>
        <w:rPr>
          <w:rFonts w:ascii="Arial" w:hAnsi="Arial" w:cs="Arial"/>
          <w:snapToGrid w:val="0"/>
          <w:sz w:val="22"/>
          <w:szCs w:val="22"/>
        </w:rPr>
      </w:pPr>
      <w:r>
        <w:rPr>
          <w:rFonts w:ascii="Arial" w:hAnsi="Arial" w:cs="Arial"/>
          <w:snapToGrid w:val="0"/>
          <w:sz w:val="22"/>
          <w:szCs w:val="22"/>
        </w:rPr>
        <w:t>e) csak az önkormányzat területén lakóhellyel rendelkező pályázókat részesítheti támogatásban;</w:t>
      </w:r>
    </w:p>
    <w:p w:rsidR="00CA5B9A" w:rsidRDefault="00CA5B9A">
      <w:pPr>
        <w:pStyle w:val="BodyText"/>
        <w:spacing w:before="120"/>
        <w:ind w:left="420"/>
        <w:rPr>
          <w:rFonts w:ascii="Arial" w:hAnsi="Arial" w:cs="Arial"/>
          <w:snapToGrid w:val="0"/>
          <w:sz w:val="22"/>
          <w:szCs w:val="22"/>
        </w:rPr>
      </w:pPr>
      <w:r>
        <w:rPr>
          <w:rFonts w:ascii="Arial" w:hAnsi="Arial" w:cs="Arial"/>
          <w:snapToGrid w:val="0"/>
          <w:sz w:val="22"/>
          <w:szCs w:val="22"/>
        </w:rPr>
        <w:t>f) az elbírálás során korra, fajra, nemre, bőrszínre, felekezeti vagy világnézeti hovatartozásra, tanulmányi eredményre tekintet nélkül, kizárólag a pályázó szociális rászorultságának objektív vizsgálatára tekintettel járhat el.</w:t>
      </w:r>
    </w:p>
    <w:p w:rsidR="00CA5B9A" w:rsidRDefault="00CA5B9A">
      <w:pPr>
        <w:jc w:val="both"/>
        <w:rPr>
          <w:rFonts w:ascii="Arial" w:hAnsi="Arial" w:cs="Arial"/>
          <w:snapToGrid w:val="0"/>
          <w:sz w:val="22"/>
          <w:szCs w:val="22"/>
        </w:rPr>
      </w:pPr>
    </w:p>
    <w:p w:rsidR="00CA5B9A" w:rsidRDefault="00CA5B9A">
      <w:pPr>
        <w:jc w:val="both"/>
        <w:rPr>
          <w:rFonts w:ascii="Arial" w:hAnsi="Arial" w:cs="Arial"/>
          <w:sz w:val="22"/>
          <w:szCs w:val="22"/>
        </w:rPr>
      </w:pPr>
      <w:r>
        <w:rPr>
          <w:rFonts w:ascii="Arial" w:hAnsi="Arial" w:cs="Arial"/>
          <w:sz w:val="22"/>
          <w:szCs w:val="22"/>
        </w:rPr>
        <w:t>A pályázó az elbíráló szerv döntése ellen fellebbezéssel nem élhet.</w:t>
      </w:r>
    </w:p>
    <w:p w:rsidR="00CA5B9A" w:rsidRDefault="00CA5B9A">
      <w:pPr>
        <w:jc w:val="both"/>
        <w:rPr>
          <w:rFonts w:ascii="Arial" w:hAnsi="Arial" w:cs="Arial"/>
          <w:sz w:val="22"/>
          <w:szCs w:val="22"/>
        </w:rPr>
      </w:pPr>
    </w:p>
    <w:p w:rsidR="00CA5B9A" w:rsidRDefault="00CA5B9A">
      <w:pPr>
        <w:tabs>
          <w:tab w:val="num" w:pos="0"/>
        </w:tabs>
        <w:jc w:val="both"/>
        <w:rPr>
          <w:rFonts w:ascii="Arial" w:hAnsi="Arial" w:cs="Arial"/>
          <w:sz w:val="22"/>
          <w:szCs w:val="22"/>
        </w:rPr>
      </w:pPr>
      <w:r>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CA5B9A" w:rsidRDefault="00CA5B9A">
      <w:pPr>
        <w:jc w:val="both"/>
        <w:rPr>
          <w:rFonts w:ascii="Arial" w:hAnsi="Arial" w:cs="Arial"/>
          <w:b/>
          <w:bCs/>
          <w:sz w:val="22"/>
          <w:szCs w:val="22"/>
        </w:rPr>
      </w:pPr>
    </w:p>
    <w:p w:rsidR="00CA5B9A" w:rsidRDefault="00CA5B9A">
      <w:pPr>
        <w:tabs>
          <w:tab w:val="num" w:pos="0"/>
        </w:tabs>
        <w:jc w:val="both"/>
        <w:rPr>
          <w:rFonts w:ascii="Arial" w:hAnsi="Arial" w:cs="Arial"/>
          <w:snapToGrid w:val="0"/>
          <w:sz w:val="22"/>
          <w:szCs w:val="22"/>
        </w:rPr>
      </w:pPr>
      <w:r>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A5B9A" w:rsidRDefault="00CA5B9A">
      <w:pPr>
        <w:jc w:val="both"/>
        <w:rPr>
          <w:rFonts w:ascii="Arial" w:hAnsi="Arial" w:cs="Arial"/>
          <w:sz w:val="22"/>
          <w:szCs w:val="22"/>
        </w:rPr>
      </w:pPr>
    </w:p>
    <w:p w:rsidR="00CA5B9A" w:rsidRDefault="00CA5B9A">
      <w:pPr>
        <w:jc w:val="both"/>
        <w:rPr>
          <w:rFonts w:ascii="Arial" w:hAnsi="Arial" w:cs="Arial"/>
          <w:b/>
          <w:bCs/>
          <w:sz w:val="22"/>
          <w:szCs w:val="22"/>
        </w:rPr>
      </w:pPr>
      <w:r>
        <w:rPr>
          <w:rFonts w:ascii="Arial" w:hAnsi="Arial" w:cs="Arial"/>
          <w:b/>
          <w:bCs/>
          <w:sz w:val="22"/>
          <w:szCs w:val="22"/>
        </w:rPr>
        <w:t>6. Értesítés a pályázati döntésről</w:t>
      </w:r>
    </w:p>
    <w:p w:rsidR="00CA5B9A" w:rsidRDefault="00CA5B9A">
      <w:pPr>
        <w:jc w:val="both"/>
        <w:rPr>
          <w:rFonts w:ascii="Arial" w:hAnsi="Arial" w:cs="Arial"/>
          <w:b/>
          <w:bCs/>
          <w:sz w:val="22"/>
          <w:szCs w:val="22"/>
        </w:rPr>
      </w:pPr>
    </w:p>
    <w:p w:rsidR="00CA5B9A" w:rsidRDefault="00CA5B9A">
      <w:pPr>
        <w:jc w:val="both"/>
        <w:rPr>
          <w:rFonts w:ascii="Arial" w:hAnsi="Arial" w:cs="Arial"/>
          <w:sz w:val="22"/>
          <w:szCs w:val="22"/>
        </w:rPr>
      </w:pPr>
      <w:r>
        <w:rPr>
          <w:rFonts w:ascii="Arial" w:hAnsi="Arial" w:cs="Arial"/>
          <w:sz w:val="22"/>
          <w:szCs w:val="22"/>
        </w:rPr>
        <w:t>A települési önkormányzat a meghozott döntéséről és annak indokáról 2015. december 17-ig az EPER-Bursa rendszeren keresztül elektronikusan vagy postai úton küldött levélben értesíti a pályázókat.</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 Támogatáskezelő az önkormányzati döntési listák érkeztetését követően 2016. január 22-ig értesíti a települési önkormányzatok által nem támogatott pályázókat az önkormányzati döntésrőlaz EPER-Bursa rendszeren keresztül.</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 Támogatáskezelő az elbírálás ellenőrzését és az intézményi ösztöndíjrészek megállapítását követően 2016. március 11-ig az EPER-Bursa rendszeren keresztül értesíti a települési önkormányzat által támogatásban részesített pályázókat a Bursa Hungarica ösztöndíj teljes összegéről és az ösztöndíj-folyósítás módjáról.</w:t>
      </w:r>
    </w:p>
    <w:p w:rsidR="00CA5B9A" w:rsidRDefault="00CA5B9A">
      <w:pPr>
        <w:jc w:val="both"/>
        <w:rPr>
          <w:rFonts w:ascii="Arial" w:hAnsi="Arial" w:cs="Arial"/>
          <w:snapToGrid w:val="0"/>
          <w:sz w:val="22"/>
          <w:szCs w:val="22"/>
        </w:rPr>
      </w:pPr>
    </w:p>
    <w:p w:rsidR="00CA5B9A" w:rsidRDefault="00CA5B9A">
      <w:pPr>
        <w:jc w:val="both"/>
        <w:rPr>
          <w:rFonts w:ascii="Arial" w:hAnsi="Arial" w:cs="Arial"/>
          <w:b/>
          <w:bCs/>
          <w:snapToGrid w:val="0"/>
          <w:sz w:val="22"/>
          <w:szCs w:val="22"/>
        </w:rPr>
      </w:pPr>
      <w:r>
        <w:rPr>
          <w:rFonts w:ascii="Arial" w:hAnsi="Arial" w:cs="Arial"/>
          <w:b/>
          <w:bCs/>
          <w:snapToGrid w:val="0"/>
          <w:sz w:val="22"/>
          <w:szCs w:val="22"/>
        </w:rPr>
        <w:t xml:space="preserve">A pályázó a felvételi értesítő másolatának megküldésével köteles 2016. augusztus 31-ig a </w:t>
      </w:r>
      <w:r>
        <w:rPr>
          <w:rFonts w:ascii="Arial" w:hAnsi="Arial" w:cs="Arial"/>
          <w:b/>
          <w:bCs/>
          <w:sz w:val="22"/>
          <w:szCs w:val="22"/>
        </w:rPr>
        <w:t xml:space="preserve">Támogatáskezelő </w:t>
      </w:r>
      <w:r>
        <w:rPr>
          <w:rFonts w:ascii="Arial" w:hAnsi="Arial" w:cs="Arial"/>
          <w:b/>
          <w:bCs/>
          <w:snapToGrid w:val="0"/>
          <w:sz w:val="22"/>
          <w:szCs w:val="22"/>
        </w:rPr>
        <w:t xml:space="preserve">részére bejelenteni, hogy a </w:t>
      </w:r>
      <w:r>
        <w:rPr>
          <w:rFonts w:ascii="Arial" w:hAnsi="Arial" w:cs="Arial"/>
          <w:b/>
          <w:bCs/>
          <w:sz w:val="22"/>
          <w:szCs w:val="22"/>
        </w:rPr>
        <w:t>2016/2017. tanévben</w:t>
      </w:r>
      <w:r>
        <w:rPr>
          <w:rFonts w:ascii="Arial" w:hAnsi="Arial" w:cs="Arial"/>
          <w:b/>
          <w:bCs/>
          <w:snapToGrid w:val="0"/>
          <w:sz w:val="22"/>
          <w:szCs w:val="22"/>
        </w:rPr>
        <w:t xml:space="preserve"> melyik felsőoktatási intézményben kezdi meg tanulmányait. Továbbá a pályázó köteles nyilatkozni arról, hogy a 2016-os felvételi évet megelőzően nyert-e felvételt felsőoktatási intézménybe. Az a pályázó, aki értesítési kötelezettségének nem tesz eleget, az ösztöndíj folyósításából és az ösztöndíjrendszer következő évi fordulójából kizárható.</w:t>
      </w:r>
    </w:p>
    <w:p w:rsidR="00CA5B9A" w:rsidRDefault="00CA5B9A">
      <w:pPr>
        <w:jc w:val="both"/>
        <w:rPr>
          <w:rFonts w:ascii="Arial" w:hAnsi="Arial" w:cs="Arial"/>
          <w:snapToGrid w:val="0"/>
          <w:sz w:val="22"/>
          <w:szCs w:val="22"/>
        </w:rPr>
      </w:pPr>
    </w:p>
    <w:p w:rsidR="00CA5B9A" w:rsidRDefault="00CA5B9A">
      <w:pPr>
        <w:jc w:val="both"/>
        <w:rPr>
          <w:rFonts w:ascii="Arial" w:hAnsi="Arial" w:cs="Arial"/>
          <w:snapToGrid w:val="0"/>
          <w:sz w:val="22"/>
          <w:szCs w:val="22"/>
        </w:rPr>
      </w:pPr>
      <w:r>
        <w:rPr>
          <w:rFonts w:ascii="Arial" w:hAnsi="Arial" w:cs="Arial"/>
          <w:snapToGrid w:val="0"/>
          <w:sz w:val="22"/>
          <w:szCs w:val="22"/>
        </w:rPr>
        <w:t xml:space="preserve">Amennyiben a </w:t>
      </w:r>
      <w:r>
        <w:rPr>
          <w:rFonts w:ascii="Arial" w:hAnsi="Arial" w:cs="Arial"/>
          <w:sz w:val="22"/>
          <w:szCs w:val="22"/>
        </w:rPr>
        <w:t>"B"</w:t>
      </w:r>
      <w:r>
        <w:rPr>
          <w:rFonts w:ascii="Arial" w:hAnsi="Arial" w:cs="Arial"/>
          <w:snapToGrid w:val="0"/>
          <w:sz w:val="22"/>
          <w:szCs w:val="22"/>
        </w:rPr>
        <w:t xml:space="preserve"> típusú pályázat során támogatásban részesülő ösztöndíjas a támogatás időtartama alatt sikeresen pályázik </w:t>
      </w:r>
      <w:r>
        <w:rPr>
          <w:rFonts w:ascii="Arial" w:hAnsi="Arial" w:cs="Arial"/>
          <w:sz w:val="22"/>
          <w:szCs w:val="22"/>
        </w:rPr>
        <w:t>"A"</w:t>
      </w:r>
      <w:r>
        <w:rPr>
          <w:rFonts w:ascii="Arial" w:hAnsi="Arial" w:cs="Arial"/>
          <w:snapToGrid w:val="0"/>
          <w:sz w:val="22"/>
          <w:szCs w:val="22"/>
        </w:rPr>
        <w:t xml:space="preserve"> típusú ösztöndíjra, </w:t>
      </w:r>
      <w:r>
        <w:rPr>
          <w:rFonts w:ascii="Arial" w:hAnsi="Arial" w:cs="Arial"/>
          <w:sz w:val="22"/>
          <w:szCs w:val="22"/>
        </w:rPr>
        <w:t>"B"</w:t>
      </w:r>
      <w:r>
        <w:rPr>
          <w:rFonts w:ascii="Arial" w:hAnsi="Arial" w:cs="Arial"/>
          <w:snapToGrid w:val="0"/>
          <w:sz w:val="22"/>
          <w:szCs w:val="22"/>
        </w:rPr>
        <w:t xml:space="preserve"> típusú ösztöndíját automatikusan elveszti.</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p>
    <w:p w:rsidR="00CA5B9A" w:rsidRDefault="00CA5B9A">
      <w:pPr>
        <w:jc w:val="both"/>
        <w:rPr>
          <w:rFonts w:ascii="Arial" w:hAnsi="Arial" w:cs="Arial"/>
          <w:b/>
          <w:bCs/>
          <w:sz w:val="22"/>
          <w:szCs w:val="22"/>
        </w:rPr>
      </w:pPr>
      <w:r>
        <w:rPr>
          <w:rFonts w:ascii="Arial" w:hAnsi="Arial" w:cs="Arial"/>
          <w:b/>
          <w:bCs/>
          <w:sz w:val="22"/>
          <w:szCs w:val="22"/>
        </w:rPr>
        <w:t>7. Az ösztöndíj folyósításának feltételei</w:t>
      </w:r>
    </w:p>
    <w:p w:rsidR="00CA5B9A" w:rsidRDefault="00CA5B9A">
      <w:pPr>
        <w:jc w:val="both"/>
        <w:rPr>
          <w:rFonts w:ascii="Arial" w:hAnsi="Arial" w:cs="Arial"/>
          <w:sz w:val="22"/>
          <w:szCs w:val="22"/>
        </w:rPr>
      </w:pPr>
    </w:p>
    <w:p w:rsidR="00CA5B9A" w:rsidRDefault="00CA5B9A">
      <w:pPr>
        <w:jc w:val="both"/>
        <w:rPr>
          <w:rFonts w:ascii="Arial" w:hAnsi="Arial" w:cs="Arial"/>
          <w:b/>
          <w:bCs/>
          <w:sz w:val="22"/>
          <w:szCs w:val="22"/>
        </w:rPr>
      </w:pPr>
      <w:r>
        <w:rPr>
          <w:rFonts w:ascii="Arial" w:hAnsi="Arial" w:cs="Arial"/>
          <w:b/>
          <w:bCs/>
          <w:sz w:val="22"/>
          <w:szCs w:val="22"/>
        </w:rPr>
        <w:t>Az ösztöndíj-folyósítás feltétele, hogy a támogatott pályázó hallgatói jogviszonya a 2016/2017. tanév első félévében megfeleljen a pályázati kiírásnak. Amennyiben a támogatott pályázó hallgatói jogviszonya nem felel meg a pályázati kiírásnak, a támogatott az ösztöndíjra való jogosultságát elveszíti.</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 xml:space="preserve">Az ösztöndíj csak azokban a hónapokban kerül folyósításra, amelyekben a pályázó beiratkozott hallgatója a felsőoktatási intézménynek. </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 felsőoktatási intézményeknek az ösztöndíj kifizetésének megkezdését megelőző – az ösztöndíj igénybevételére vonatkozó jogosultsági ellenőrzés keretében – 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 illetve állam által támogatott képzési formában folytatott tanulmányi időt figyelembe kell venni.</w:t>
      </w:r>
    </w:p>
    <w:p w:rsidR="00CA5B9A" w:rsidRDefault="00CA5B9A">
      <w:pPr>
        <w:jc w:val="both"/>
        <w:rPr>
          <w:rFonts w:ascii="Arial" w:hAnsi="Arial" w:cs="Arial"/>
          <w:sz w:val="22"/>
          <w:szCs w:val="22"/>
        </w:rPr>
      </w:pPr>
    </w:p>
    <w:p w:rsidR="00CA5B9A" w:rsidRDefault="00CA5B9A">
      <w:pPr>
        <w:widowControl w:val="0"/>
        <w:autoSpaceDE w:val="0"/>
        <w:autoSpaceDN w:val="0"/>
        <w:adjustRightInd w:val="0"/>
        <w:jc w:val="both"/>
        <w:rPr>
          <w:rFonts w:ascii="Arial" w:hAnsi="Arial" w:cs="Arial"/>
          <w:sz w:val="22"/>
          <w:szCs w:val="22"/>
        </w:rPr>
      </w:pPr>
      <w:r>
        <w:rPr>
          <w:rFonts w:ascii="Arial" w:hAnsi="Arial"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CA5B9A" w:rsidRDefault="00CA5B9A">
      <w:pPr>
        <w:jc w:val="both"/>
        <w:rPr>
          <w:rFonts w:ascii="Arial" w:hAnsi="Arial" w:cs="Arial"/>
          <w:sz w:val="22"/>
          <w:szCs w:val="22"/>
        </w:rPr>
      </w:pPr>
    </w:p>
    <w:p w:rsidR="00CA5B9A" w:rsidRDefault="00CA5B9A">
      <w:pPr>
        <w:jc w:val="both"/>
        <w:rPr>
          <w:rFonts w:ascii="Arial" w:hAnsi="Arial" w:cs="Arial"/>
          <w:b/>
          <w:bCs/>
          <w:sz w:val="22"/>
          <w:szCs w:val="22"/>
        </w:rPr>
      </w:pPr>
      <w:r>
        <w:rPr>
          <w:rFonts w:ascii="Arial" w:hAnsi="Arial" w:cs="Arial"/>
          <w:b/>
          <w:bCs/>
          <w:sz w:val="22"/>
          <w:szCs w:val="22"/>
        </w:rPr>
        <w:t>8. Az ösztöndíj folyósítása</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Az ösztöndíj időtartama 3x10 hónap, azaz hat egymást követő tanulmányi félév:</w:t>
      </w:r>
    </w:p>
    <w:p w:rsidR="00CA5B9A" w:rsidRDefault="00CA5B9A">
      <w:pPr>
        <w:jc w:val="both"/>
        <w:rPr>
          <w:rFonts w:ascii="Arial" w:hAnsi="Arial" w:cs="Arial"/>
          <w:sz w:val="22"/>
          <w:szCs w:val="22"/>
        </w:rPr>
      </w:pPr>
      <w:r>
        <w:rPr>
          <w:rFonts w:ascii="Arial" w:hAnsi="Arial" w:cs="Arial"/>
          <w:sz w:val="22"/>
          <w:szCs w:val="22"/>
        </w:rPr>
        <w:t>a 2016/2017. tanév, a 2017/2018. tanév és a 2018/2019. tanév.</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Az ösztöndíj folyósításának kezdete a 2016/2017. tanév első féléve.</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Az intézményi ösztöndíjrész forrása az 51/2007. (III.26.)Korm. rendelet 18. § (3) bekezdése értelmében az intézmények költségvetésében megjelölt elkülönített forrás.</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–a hallgatói juttatásokatkapja. Amennyiben a hallgató egy időben több felsőoktatási intézménnyel is hallgatói jogviszonyban áll, aza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CA5B9A" w:rsidRDefault="00CA5B9A">
      <w:pPr>
        <w:jc w:val="both"/>
        <w:rPr>
          <w:rFonts w:ascii="Arial" w:hAnsi="Arial" w:cs="Arial"/>
          <w:sz w:val="22"/>
          <w:szCs w:val="22"/>
        </w:rPr>
      </w:pPr>
    </w:p>
    <w:p w:rsidR="00CA5B9A" w:rsidRDefault="00CA5B9A">
      <w:pPr>
        <w:jc w:val="both"/>
        <w:rPr>
          <w:rFonts w:ascii="Arial" w:hAnsi="Arial" w:cs="Arial"/>
          <w:sz w:val="22"/>
          <w:szCs w:val="22"/>
        </w:rPr>
      </w:pPr>
      <w:r>
        <w:rPr>
          <w:rFonts w:ascii="Arial" w:hAnsi="Arial" w:cs="Arial"/>
          <w:sz w:val="22"/>
          <w:szCs w:val="22"/>
        </w:rPr>
        <w:t>Az ösztöndíj folyósításának kezdete legkorábban: 2016. október.</w:t>
      </w:r>
    </w:p>
    <w:p w:rsidR="00CA5B9A" w:rsidRDefault="00CA5B9A">
      <w:pPr>
        <w:jc w:val="both"/>
        <w:rPr>
          <w:rFonts w:ascii="Arial" w:hAnsi="Arial" w:cs="Arial"/>
          <w:sz w:val="22"/>
          <w:szCs w:val="22"/>
        </w:rPr>
      </w:pPr>
      <w:r>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CA5B9A" w:rsidRDefault="00CA5B9A">
      <w:pPr>
        <w:jc w:val="both"/>
        <w:rPr>
          <w:rFonts w:ascii="Arial" w:hAnsi="Arial" w:cs="Arial"/>
          <w:sz w:val="22"/>
          <w:szCs w:val="22"/>
        </w:rPr>
      </w:pPr>
      <w:r>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A5B9A" w:rsidRDefault="00CA5B9A">
      <w:pPr>
        <w:jc w:val="both"/>
        <w:rPr>
          <w:rFonts w:ascii="Arial" w:hAnsi="Arial" w:cs="Arial"/>
          <w:sz w:val="22"/>
          <w:szCs w:val="22"/>
        </w:rPr>
      </w:pPr>
    </w:p>
    <w:p w:rsidR="00CA5B9A" w:rsidRDefault="00CA5B9A">
      <w:pPr>
        <w:rPr>
          <w:rFonts w:ascii="Arial" w:hAnsi="Arial" w:cs="Arial"/>
          <w:sz w:val="22"/>
          <w:szCs w:val="22"/>
        </w:rPr>
      </w:pPr>
      <w:r>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CA5B9A" w:rsidRDefault="00CA5B9A">
      <w:pPr>
        <w:rPr>
          <w:rFonts w:ascii="Arial" w:hAnsi="Arial" w:cs="Arial"/>
          <w:snapToGrid w:val="0"/>
          <w:sz w:val="22"/>
          <w:szCs w:val="22"/>
        </w:rPr>
      </w:pPr>
    </w:p>
    <w:p w:rsidR="00CA5B9A" w:rsidRDefault="00CA5B9A">
      <w:pPr>
        <w:jc w:val="both"/>
        <w:rPr>
          <w:rFonts w:ascii="Arial" w:hAnsi="Arial" w:cs="Arial"/>
          <w:b/>
          <w:bCs/>
          <w:sz w:val="22"/>
          <w:szCs w:val="22"/>
        </w:rPr>
      </w:pPr>
      <w:r>
        <w:rPr>
          <w:rFonts w:ascii="Arial" w:hAnsi="Arial" w:cs="Arial"/>
          <w:b/>
          <w:bCs/>
          <w:sz w:val="22"/>
          <w:szCs w:val="22"/>
        </w:rPr>
        <w:t>9. A pályázók értesítési kötelezettségei</w:t>
      </w:r>
    </w:p>
    <w:p w:rsidR="00CA5B9A" w:rsidRDefault="00CA5B9A">
      <w:pPr>
        <w:jc w:val="both"/>
        <w:rPr>
          <w:rFonts w:ascii="Arial" w:hAnsi="Arial" w:cs="Arial"/>
          <w:sz w:val="22"/>
          <w:szCs w:val="22"/>
        </w:rPr>
      </w:pPr>
    </w:p>
    <w:p w:rsidR="00CA5B9A" w:rsidRDefault="00CA5B9A">
      <w:pPr>
        <w:spacing w:before="120"/>
        <w:jc w:val="both"/>
        <w:rPr>
          <w:rFonts w:ascii="Arial" w:hAnsi="Arial" w:cs="Arial"/>
          <w:sz w:val="22"/>
          <w:szCs w:val="22"/>
        </w:rPr>
      </w:pPr>
      <w:r>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Pr>
          <w:rFonts w:ascii="Arial" w:hAnsi="Arial" w:cs="Arial"/>
          <w:b/>
          <w:bCs/>
          <w:sz w:val="22"/>
          <w:szCs w:val="22"/>
          <w:u w:val="single"/>
        </w:rPr>
        <w:t>írásban</w:t>
      </w:r>
      <w:r>
        <w:rPr>
          <w:rFonts w:ascii="Arial" w:hAnsi="Arial" w:cs="Arial"/>
          <w:b/>
          <w:bCs/>
          <w:sz w:val="22"/>
          <w:szCs w:val="22"/>
        </w:rPr>
        <w:t xml:space="preserve"> értesítenia folyósító felsőoktatási intézményt ésa Támogatáskezelőt (1381 Budapest Pf. 1418)</w:t>
      </w:r>
      <w:r>
        <w:rPr>
          <w:rFonts w:ascii="Arial" w:hAnsi="Arial" w:cs="Arial"/>
          <w:sz w:val="22"/>
          <w:szCs w:val="22"/>
        </w:rPr>
        <w:t>. A bejelentést az EPER-Bursa rendszeren keresztül kell kezdeményeznie. Az értesítési kötelezettséget a hallgató 5 munkanapon belül köteles teljesíteni az alábbi adatok változásakor:</w:t>
      </w:r>
    </w:p>
    <w:p w:rsidR="00CA5B9A" w:rsidRDefault="00CA5B9A">
      <w:pPr>
        <w:numPr>
          <w:ilvl w:val="0"/>
          <w:numId w:val="8"/>
        </w:numPr>
        <w:jc w:val="both"/>
        <w:rPr>
          <w:rFonts w:ascii="Arial" w:hAnsi="Arial" w:cs="Arial"/>
          <w:b/>
          <w:bCs/>
          <w:sz w:val="22"/>
          <w:szCs w:val="22"/>
        </w:rPr>
      </w:pPr>
      <w:r>
        <w:rPr>
          <w:rFonts w:ascii="Arial" w:hAnsi="Arial" w:cs="Arial"/>
          <w:b/>
          <w:bCs/>
          <w:sz w:val="22"/>
          <w:szCs w:val="22"/>
        </w:rPr>
        <w:t xml:space="preserve">tanulmányok halasztása; </w:t>
      </w:r>
    </w:p>
    <w:p w:rsidR="00CA5B9A" w:rsidRDefault="00CA5B9A">
      <w:pPr>
        <w:numPr>
          <w:ilvl w:val="0"/>
          <w:numId w:val="8"/>
        </w:numPr>
        <w:jc w:val="both"/>
        <w:rPr>
          <w:rFonts w:ascii="Arial" w:hAnsi="Arial" w:cs="Arial"/>
          <w:b/>
          <w:bCs/>
          <w:sz w:val="22"/>
          <w:szCs w:val="22"/>
        </w:rPr>
      </w:pPr>
      <w:r>
        <w:rPr>
          <w:rFonts w:ascii="Arial" w:hAnsi="Arial" w:cs="Arial"/>
          <w:b/>
          <w:bCs/>
          <w:sz w:val="22"/>
          <w:szCs w:val="22"/>
        </w:rPr>
        <w:t>tanulmányok helyének megváltozása (az új felsőoktatási intézmény, kar, szak, munkarend, finanszírozási forma megnevezésével);</w:t>
      </w:r>
    </w:p>
    <w:p w:rsidR="00CA5B9A" w:rsidRDefault="00CA5B9A">
      <w:pPr>
        <w:numPr>
          <w:ilvl w:val="0"/>
          <w:numId w:val="8"/>
        </w:numPr>
        <w:jc w:val="both"/>
        <w:rPr>
          <w:rFonts w:ascii="Arial" w:hAnsi="Arial" w:cs="Arial"/>
          <w:b/>
          <w:bCs/>
          <w:sz w:val="22"/>
          <w:szCs w:val="22"/>
        </w:rPr>
      </w:pPr>
      <w:r>
        <w:rPr>
          <w:rFonts w:ascii="Arial" w:hAnsi="Arial" w:cs="Arial"/>
          <w:b/>
          <w:bCs/>
          <w:sz w:val="22"/>
          <w:szCs w:val="22"/>
        </w:rPr>
        <w:t>tanulmányi státusz (munkarend, képzési forma, finanszírozási forma) változása;</w:t>
      </w:r>
    </w:p>
    <w:p w:rsidR="00CA5B9A" w:rsidRDefault="00CA5B9A">
      <w:pPr>
        <w:numPr>
          <w:ilvl w:val="0"/>
          <w:numId w:val="8"/>
        </w:numPr>
        <w:jc w:val="both"/>
        <w:rPr>
          <w:rFonts w:ascii="Arial" w:hAnsi="Arial" w:cs="Arial"/>
          <w:b/>
          <w:bCs/>
          <w:sz w:val="22"/>
          <w:szCs w:val="22"/>
        </w:rPr>
      </w:pPr>
      <w:r>
        <w:rPr>
          <w:rFonts w:ascii="Arial" w:hAnsi="Arial" w:cs="Arial"/>
          <w:b/>
          <w:bCs/>
          <w:sz w:val="22"/>
          <w:szCs w:val="22"/>
        </w:rPr>
        <w:t>személyes adatainak (név, lakóhely, elektronikus levelezési cím) változása.</w:t>
      </w:r>
    </w:p>
    <w:p w:rsidR="00CA5B9A" w:rsidRDefault="00CA5B9A">
      <w:pPr>
        <w:tabs>
          <w:tab w:val="num" w:pos="0"/>
        </w:tabs>
        <w:jc w:val="both"/>
        <w:rPr>
          <w:rFonts w:ascii="Arial" w:hAnsi="Arial" w:cs="Arial"/>
          <w:b/>
          <w:bCs/>
          <w:snapToGrid w:val="0"/>
          <w:sz w:val="22"/>
          <w:szCs w:val="22"/>
        </w:rPr>
      </w:pPr>
    </w:p>
    <w:p w:rsidR="00CA5B9A" w:rsidRDefault="00CA5B9A">
      <w:pPr>
        <w:tabs>
          <w:tab w:val="num" w:pos="0"/>
        </w:tabs>
        <w:jc w:val="both"/>
        <w:rPr>
          <w:rFonts w:ascii="Arial" w:hAnsi="Arial" w:cs="Arial"/>
          <w:snapToGrid w:val="0"/>
          <w:sz w:val="22"/>
          <w:szCs w:val="22"/>
        </w:rPr>
      </w:pPr>
      <w:r>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CA5B9A" w:rsidRDefault="00CA5B9A">
      <w:pPr>
        <w:tabs>
          <w:tab w:val="num" w:pos="0"/>
        </w:tabs>
        <w:jc w:val="both"/>
        <w:rPr>
          <w:rFonts w:ascii="Arial" w:hAnsi="Arial" w:cs="Arial"/>
          <w:snapToGrid w:val="0"/>
          <w:sz w:val="22"/>
          <w:szCs w:val="22"/>
        </w:rPr>
      </w:pPr>
    </w:p>
    <w:p w:rsidR="00CA5B9A" w:rsidRDefault="00CA5B9A">
      <w:pPr>
        <w:tabs>
          <w:tab w:val="num" w:pos="0"/>
        </w:tabs>
        <w:jc w:val="both"/>
        <w:rPr>
          <w:rFonts w:ascii="Arial" w:hAnsi="Arial" w:cs="Arial"/>
          <w:sz w:val="22"/>
          <w:szCs w:val="22"/>
        </w:rPr>
      </w:pPr>
      <w:r>
        <w:rPr>
          <w:rFonts w:ascii="Arial" w:hAnsi="Arial" w:cs="Arial"/>
          <w:snapToGrid w:val="0"/>
          <w:sz w:val="22"/>
          <w:szCs w:val="22"/>
        </w:rPr>
        <w:t>Az ösztöndíjas 30 napon belül köteles a jogosulatlanul felvett ösztöndíjat a folyósító felsőoktatási intézmény részére visszafizetni.</w:t>
      </w:r>
    </w:p>
    <w:p w:rsidR="00CA5B9A" w:rsidRDefault="00CA5B9A">
      <w:pPr>
        <w:tabs>
          <w:tab w:val="num" w:pos="0"/>
        </w:tabs>
        <w:jc w:val="both"/>
        <w:rPr>
          <w:rFonts w:ascii="Arial" w:hAnsi="Arial" w:cs="Arial"/>
          <w:snapToGrid w:val="0"/>
          <w:sz w:val="22"/>
          <w:szCs w:val="22"/>
        </w:rPr>
      </w:pPr>
    </w:p>
    <w:p w:rsidR="00CA5B9A" w:rsidRDefault="00CA5B9A">
      <w:pPr>
        <w:tabs>
          <w:tab w:val="num" w:pos="0"/>
        </w:tabs>
        <w:jc w:val="both"/>
        <w:rPr>
          <w:rFonts w:ascii="Arial" w:hAnsi="Arial" w:cs="Arial"/>
          <w:snapToGrid w:val="0"/>
          <w:sz w:val="22"/>
          <w:szCs w:val="22"/>
        </w:rPr>
      </w:pPr>
      <w:r>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CA5B9A" w:rsidRDefault="00CA5B9A">
      <w:pPr>
        <w:tabs>
          <w:tab w:val="num" w:pos="0"/>
        </w:tabs>
        <w:jc w:val="both"/>
        <w:rPr>
          <w:rFonts w:ascii="Arial" w:hAnsi="Arial" w:cs="Arial"/>
          <w:sz w:val="22"/>
          <w:szCs w:val="22"/>
        </w:rPr>
      </w:pPr>
    </w:p>
    <w:p w:rsidR="00CA5B9A" w:rsidRDefault="00CA5B9A">
      <w:pPr>
        <w:pStyle w:val="BodyText"/>
        <w:tabs>
          <w:tab w:val="num" w:pos="0"/>
        </w:tabs>
        <w:rPr>
          <w:rFonts w:ascii="Arial" w:hAnsi="Arial" w:cs="Arial"/>
          <w:sz w:val="22"/>
          <w:szCs w:val="22"/>
        </w:rPr>
      </w:pPr>
      <w:r>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A5B9A" w:rsidRDefault="00CA5B9A">
      <w:pPr>
        <w:pStyle w:val="BodyText"/>
        <w:tabs>
          <w:tab w:val="num" w:pos="0"/>
        </w:tabs>
        <w:rPr>
          <w:rFonts w:ascii="Arial" w:hAnsi="Arial" w:cs="Arial"/>
          <w:sz w:val="22"/>
          <w:szCs w:val="22"/>
        </w:rPr>
      </w:pPr>
    </w:p>
    <w:p w:rsidR="00CA5B9A" w:rsidRDefault="00CA5B9A">
      <w:pPr>
        <w:tabs>
          <w:tab w:val="num" w:pos="0"/>
        </w:tabs>
        <w:jc w:val="both"/>
        <w:rPr>
          <w:rFonts w:ascii="Arial" w:hAnsi="Arial" w:cs="Arial"/>
          <w:b/>
          <w:bCs/>
          <w:sz w:val="22"/>
          <w:szCs w:val="22"/>
        </w:rPr>
      </w:pPr>
      <w:r>
        <w:rPr>
          <w:rFonts w:ascii="Arial" w:hAnsi="Arial" w:cs="Arial"/>
          <w:b/>
          <w:bCs/>
          <w:sz w:val="22"/>
          <w:szCs w:val="22"/>
        </w:rPr>
        <w:t>10. Lebonyolítás</w:t>
      </w:r>
    </w:p>
    <w:p w:rsidR="00CA5B9A" w:rsidRDefault="00CA5B9A">
      <w:pPr>
        <w:tabs>
          <w:tab w:val="num" w:pos="0"/>
        </w:tabs>
        <w:jc w:val="both"/>
        <w:rPr>
          <w:rFonts w:ascii="Arial" w:hAnsi="Arial" w:cs="Arial"/>
          <w:sz w:val="22"/>
          <w:szCs w:val="22"/>
        </w:rPr>
      </w:pPr>
    </w:p>
    <w:p w:rsidR="00CA5B9A" w:rsidRDefault="00CA5B9A">
      <w:pPr>
        <w:tabs>
          <w:tab w:val="num" w:pos="0"/>
        </w:tabs>
        <w:jc w:val="both"/>
        <w:rPr>
          <w:rFonts w:ascii="Arial" w:hAnsi="Arial" w:cs="Arial"/>
          <w:sz w:val="22"/>
          <w:szCs w:val="22"/>
        </w:rPr>
      </w:pPr>
      <w:r>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CA5B9A" w:rsidRDefault="00CA5B9A">
      <w:pPr>
        <w:tabs>
          <w:tab w:val="num" w:pos="0"/>
        </w:tabs>
        <w:jc w:val="both"/>
        <w:rPr>
          <w:rFonts w:ascii="Arial" w:hAnsi="Arial" w:cs="Arial"/>
          <w:sz w:val="22"/>
          <w:szCs w:val="22"/>
        </w:rPr>
      </w:pPr>
    </w:p>
    <w:p w:rsidR="00CA5B9A" w:rsidRDefault="00CA5B9A">
      <w:pPr>
        <w:tabs>
          <w:tab w:val="num" w:pos="0"/>
        </w:tabs>
        <w:jc w:val="both"/>
        <w:rPr>
          <w:rFonts w:ascii="Arial" w:hAnsi="Arial" w:cs="Arial"/>
          <w:sz w:val="22"/>
          <w:szCs w:val="22"/>
        </w:rPr>
      </w:pPr>
      <w:r>
        <w:rPr>
          <w:rFonts w:ascii="Arial" w:hAnsi="Arial" w:cs="Arial"/>
          <w:sz w:val="22"/>
          <w:szCs w:val="22"/>
        </w:rPr>
        <w:t>A Támogatáskezelő elérhetősége:</w:t>
      </w:r>
    </w:p>
    <w:p w:rsidR="00CA5B9A" w:rsidRDefault="00CA5B9A">
      <w:pPr>
        <w:tabs>
          <w:tab w:val="num" w:pos="0"/>
        </w:tabs>
        <w:jc w:val="both"/>
        <w:rPr>
          <w:rFonts w:ascii="Arial" w:hAnsi="Arial" w:cs="Arial"/>
          <w:sz w:val="22"/>
          <w:szCs w:val="22"/>
        </w:rPr>
      </w:pPr>
    </w:p>
    <w:p w:rsidR="00CA5B9A" w:rsidRDefault="00CA5B9A">
      <w:pPr>
        <w:tabs>
          <w:tab w:val="num" w:pos="0"/>
        </w:tabs>
        <w:jc w:val="center"/>
        <w:rPr>
          <w:rFonts w:ascii="Arial" w:hAnsi="Arial" w:cs="Arial"/>
          <w:b/>
          <w:bCs/>
          <w:sz w:val="22"/>
          <w:szCs w:val="22"/>
        </w:rPr>
      </w:pPr>
      <w:r>
        <w:rPr>
          <w:rFonts w:ascii="Arial" w:hAnsi="Arial" w:cs="Arial"/>
          <w:b/>
          <w:bCs/>
          <w:sz w:val="22"/>
          <w:szCs w:val="22"/>
        </w:rPr>
        <w:t>Emberi Erőforrás Támogatáskezelő</w:t>
      </w:r>
    </w:p>
    <w:p w:rsidR="00CA5B9A" w:rsidRDefault="00CA5B9A">
      <w:pPr>
        <w:tabs>
          <w:tab w:val="num" w:pos="0"/>
        </w:tabs>
        <w:jc w:val="center"/>
        <w:rPr>
          <w:rFonts w:ascii="Arial" w:hAnsi="Arial" w:cs="Arial"/>
          <w:b/>
          <w:bCs/>
          <w:sz w:val="22"/>
          <w:szCs w:val="22"/>
        </w:rPr>
      </w:pPr>
      <w:r>
        <w:rPr>
          <w:rFonts w:ascii="Arial" w:hAnsi="Arial" w:cs="Arial"/>
          <w:b/>
          <w:bCs/>
          <w:sz w:val="22"/>
          <w:szCs w:val="22"/>
        </w:rPr>
        <w:t>Bursa Hungarica</w:t>
      </w:r>
    </w:p>
    <w:p w:rsidR="00CA5B9A" w:rsidRDefault="00CA5B9A">
      <w:pPr>
        <w:tabs>
          <w:tab w:val="num" w:pos="0"/>
        </w:tabs>
        <w:jc w:val="center"/>
        <w:rPr>
          <w:rFonts w:ascii="Arial" w:hAnsi="Arial" w:cs="Arial"/>
          <w:b/>
          <w:bCs/>
          <w:sz w:val="20"/>
          <w:szCs w:val="20"/>
        </w:rPr>
      </w:pPr>
    </w:p>
    <w:p w:rsidR="00CA5B9A" w:rsidRDefault="00CA5B9A">
      <w:pPr>
        <w:tabs>
          <w:tab w:val="num" w:pos="0"/>
        </w:tabs>
        <w:jc w:val="center"/>
        <w:rPr>
          <w:rFonts w:ascii="Arial" w:hAnsi="Arial" w:cs="Arial"/>
          <w:sz w:val="22"/>
          <w:szCs w:val="22"/>
        </w:rPr>
      </w:pPr>
      <w:r>
        <w:rPr>
          <w:rFonts w:ascii="Arial" w:hAnsi="Arial" w:cs="Arial"/>
          <w:sz w:val="22"/>
          <w:szCs w:val="22"/>
        </w:rPr>
        <w:t>1381 Budapest Pf. 1418</w:t>
      </w:r>
    </w:p>
    <w:p w:rsidR="00CA5B9A" w:rsidRDefault="00CA5B9A">
      <w:pPr>
        <w:tabs>
          <w:tab w:val="num" w:pos="0"/>
        </w:tabs>
        <w:jc w:val="center"/>
        <w:rPr>
          <w:rFonts w:ascii="Arial" w:hAnsi="Arial" w:cs="Arial"/>
          <w:sz w:val="22"/>
          <w:szCs w:val="22"/>
        </w:rPr>
      </w:pPr>
      <w:r>
        <w:rPr>
          <w:rFonts w:ascii="Arial" w:hAnsi="Arial" w:cs="Arial"/>
          <w:sz w:val="22"/>
          <w:szCs w:val="22"/>
        </w:rPr>
        <w:t>Tel.: (06-1) 795-5600</w:t>
      </w:r>
    </w:p>
    <w:p w:rsidR="00CA5B9A" w:rsidRDefault="00CA5B9A">
      <w:pPr>
        <w:tabs>
          <w:tab w:val="num" w:pos="0"/>
        </w:tabs>
        <w:jc w:val="center"/>
        <w:rPr>
          <w:rFonts w:ascii="Arial" w:hAnsi="Arial" w:cs="Arial"/>
          <w:sz w:val="22"/>
          <w:szCs w:val="22"/>
        </w:rPr>
      </w:pPr>
      <w:r>
        <w:rPr>
          <w:rFonts w:ascii="Arial" w:hAnsi="Arial" w:cs="Arial"/>
          <w:sz w:val="22"/>
          <w:szCs w:val="22"/>
        </w:rPr>
        <w:t>E-mail: bursa@emet.gov.hu</w:t>
      </w:r>
    </w:p>
    <w:p w:rsidR="00CA5B9A" w:rsidRDefault="00CA5B9A">
      <w:pPr>
        <w:tabs>
          <w:tab w:val="num" w:pos="0"/>
        </w:tabs>
        <w:jc w:val="center"/>
        <w:rPr>
          <w:rFonts w:ascii="Arial" w:hAnsi="Arial" w:cs="Arial"/>
        </w:rPr>
      </w:pPr>
      <w:r>
        <w:rPr>
          <w:rFonts w:ascii="Arial" w:hAnsi="Arial" w:cs="Arial"/>
          <w:sz w:val="22"/>
          <w:szCs w:val="22"/>
        </w:rPr>
        <w:t>Internet: www.emet.gov.hu (Bursa Hungarica)</w:t>
      </w:r>
    </w:p>
    <w:sectPr w:rsidR="00CA5B9A" w:rsidSect="00CA5B9A">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9A" w:rsidRDefault="00CA5B9A">
      <w:pPr>
        <w:rPr>
          <w:rFonts w:cs="Times New Roman"/>
        </w:rPr>
      </w:pPr>
      <w:r>
        <w:rPr>
          <w:rFonts w:cs="Times New Roman"/>
        </w:rPr>
        <w:separator/>
      </w:r>
    </w:p>
  </w:endnote>
  <w:endnote w:type="continuationSeparator" w:id="1">
    <w:p w:rsidR="00CA5B9A" w:rsidRDefault="00CA5B9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9A" w:rsidRDefault="00CA5B9A">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7</w:t>
    </w:r>
    <w:r>
      <w:rPr>
        <w:rFonts w:ascii="Arial" w:hAnsi="Arial" w:cs="Arial"/>
        <w:sz w:val="16"/>
        <w:szCs w:val="16"/>
      </w:rPr>
      <w:fldChar w:fldCharType="end"/>
    </w:r>
  </w:p>
  <w:p w:rsidR="00CA5B9A" w:rsidRDefault="00CA5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9A" w:rsidRDefault="00CA5B9A">
      <w:pPr>
        <w:rPr>
          <w:rFonts w:cs="Times New Roman"/>
        </w:rPr>
      </w:pPr>
      <w:r>
        <w:rPr>
          <w:rFonts w:cs="Times New Roman"/>
        </w:rPr>
        <w:separator/>
      </w:r>
    </w:p>
  </w:footnote>
  <w:footnote w:type="continuationSeparator" w:id="1">
    <w:p w:rsidR="00CA5B9A" w:rsidRDefault="00CA5B9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ascii="Fpi" w:hAnsi="Fpi" w:cs="Fpi" w:hint="default"/>
      </w:rPr>
    </w:lvl>
    <w:lvl w:ilvl="1" w:tplc="040E0019">
      <w:start w:val="1"/>
      <w:numFmt w:val="lowerLetter"/>
      <w:lvlText w:val="%2."/>
      <w:lvlJc w:val="left"/>
      <w:pPr>
        <w:ind w:left="1140" w:hanging="360"/>
      </w:pPr>
      <w:rPr>
        <w:rFonts w:ascii="Times New Roman" w:hAnsi="Times New Roman" w:cs="Times New Roman"/>
      </w:rPr>
    </w:lvl>
    <w:lvl w:ilvl="2" w:tplc="040E001B">
      <w:start w:val="1"/>
      <w:numFmt w:val="lowerRoman"/>
      <w:lvlText w:val="%3."/>
      <w:lvlJc w:val="right"/>
      <w:pPr>
        <w:ind w:left="1860" w:hanging="180"/>
      </w:pPr>
      <w:rPr>
        <w:rFonts w:ascii="Times New Roman" w:hAnsi="Times New Roman" w:cs="Times New Roman"/>
      </w:rPr>
    </w:lvl>
    <w:lvl w:ilvl="3" w:tplc="040E000F">
      <w:start w:val="1"/>
      <w:numFmt w:val="decimal"/>
      <w:lvlText w:val="%4."/>
      <w:lvlJc w:val="left"/>
      <w:pPr>
        <w:ind w:left="2580" w:hanging="360"/>
      </w:pPr>
      <w:rPr>
        <w:rFonts w:ascii="Times New Roman" w:hAnsi="Times New Roman" w:cs="Times New Roman"/>
      </w:rPr>
    </w:lvl>
    <w:lvl w:ilvl="4" w:tplc="040E0019">
      <w:start w:val="1"/>
      <w:numFmt w:val="lowerLetter"/>
      <w:lvlText w:val="%5."/>
      <w:lvlJc w:val="left"/>
      <w:pPr>
        <w:ind w:left="3300" w:hanging="360"/>
      </w:pPr>
      <w:rPr>
        <w:rFonts w:ascii="Times New Roman" w:hAnsi="Times New Roman" w:cs="Times New Roman"/>
      </w:rPr>
    </w:lvl>
    <w:lvl w:ilvl="5" w:tplc="040E001B">
      <w:start w:val="1"/>
      <w:numFmt w:val="lowerRoman"/>
      <w:lvlText w:val="%6."/>
      <w:lvlJc w:val="right"/>
      <w:pPr>
        <w:ind w:left="4020" w:hanging="180"/>
      </w:pPr>
      <w:rPr>
        <w:rFonts w:ascii="Times New Roman" w:hAnsi="Times New Roman" w:cs="Times New Roman"/>
      </w:rPr>
    </w:lvl>
    <w:lvl w:ilvl="6" w:tplc="040E000F">
      <w:start w:val="1"/>
      <w:numFmt w:val="decimal"/>
      <w:lvlText w:val="%7."/>
      <w:lvlJc w:val="left"/>
      <w:pPr>
        <w:ind w:left="4740" w:hanging="360"/>
      </w:pPr>
      <w:rPr>
        <w:rFonts w:ascii="Times New Roman" w:hAnsi="Times New Roman" w:cs="Times New Roman"/>
      </w:rPr>
    </w:lvl>
    <w:lvl w:ilvl="7" w:tplc="040E0019">
      <w:start w:val="1"/>
      <w:numFmt w:val="lowerLetter"/>
      <w:lvlText w:val="%8."/>
      <w:lvlJc w:val="left"/>
      <w:pPr>
        <w:ind w:left="5460" w:hanging="360"/>
      </w:pPr>
      <w:rPr>
        <w:rFonts w:ascii="Times New Roman" w:hAnsi="Times New Roman" w:cs="Times New Roman"/>
      </w:rPr>
    </w:lvl>
    <w:lvl w:ilvl="8" w:tplc="040E001B">
      <w:start w:val="1"/>
      <w:numFmt w:val="lowerRoman"/>
      <w:lvlText w:val="%9."/>
      <w:lvlJc w:val="right"/>
      <w:pPr>
        <w:ind w:left="6180" w:hanging="180"/>
      </w:pPr>
      <w:rPr>
        <w:rFonts w:ascii="Times New Roman" w:hAnsi="Times New Roman"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ascii="Times New Roman" w:hAnsi="Times New Roman" w:cs="Times New Roman" w:hint="default"/>
      </w:rPr>
    </w:lvl>
    <w:lvl w:ilvl="1" w:tplc="040E0019">
      <w:start w:val="1"/>
      <w:numFmt w:val="lowerLetter"/>
      <w:lvlText w:val="%2."/>
      <w:lvlJc w:val="left"/>
      <w:pPr>
        <w:ind w:left="1140" w:hanging="360"/>
      </w:pPr>
      <w:rPr>
        <w:rFonts w:ascii="Times New Roman" w:hAnsi="Times New Roman" w:cs="Times New Roman"/>
      </w:rPr>
    </w:lvl>
    <w:lvl w:ilvl="2" w:tplc="040E001B">
      <w:start w:val="1"/>
      <w:numFmt w:val="lowerRoman"/>
      <w:lvlText w:val="%3."/>
      <w:lvlJc w:val="right"/>
      <w:pPr>
        <w:ind w:left="1860" w:hanging="180"/>
      </w:pPr>
      <w:rPr>
        <w:rFonts w:ascii="Times New Roman" w:hAnsi="Times New Roman" w:cs="Times New Roman"/>
      </w:rPr>
    </w:lvl>
    <w:lvl w:ilvl="3" w:tplc="040E000F">
      <w:start w:val="1"/>
      <w:numFmt w:val="decimal"/>
      <w:lvlText w:val="%4."/>
      <w:lvlJc w:val="left"/>
      <w:pPr>
        <w:ind w:left="2580" w:hanging="360"/>
      </w:pPr>
      <w:rPr>
        <w:rFonts w:ascii="Times New Roman" w:hAnsi="Times New Roman" w:cs="Times New Roman"/>
      </w:rPr>
    </w:lvl>
    <w:lvl w:ilvl="4" w:tplc="040E0019">
      <w:start w:val="1"/>
      <w:numFmt w:val="lowerLetter"/>
      <w:lvlText w:val="%5."/>
      <w:lvlJc w:val="left"/>
      <w:pPr>
        <w:ind w:left="3300" w:hanging="360"/>
      </w:pPr>
      <w:rPr>
        <w:rFonts w:ascii="Times New Roman" w:hAnsi="Times New Roman" w:cs="Times New Roman"/>
      </w:rPr>
    </w:lvl>
    <w:lvl w:ilvl="5" w:tplc="040E001B">
      <w:start w:val="1"/>
      <w:numFmt w:val="lowerRoman"/>
      <w:lvlText w:val="%6."/>
      <w:lvlJc w:val="right"/>
      <w:pPr>
        <w:ind w:left="4020" w:hanging="180"/>
      </w:pPr>
      <w:rPr>
        <w:rFonts w:ascii="Times New Roman" w:hAnsi="Times New Roman" w:cs="Times New Roman"/>
      </w:rPr>
    </w:lvl>
    <w:lvl w:ilvl="6" w:tplc="040E000F">
      <w:start w:val="1"/>
      <w:numFmt w:val="decimal"/>
      <w:lvlText w:val="%7."/>
      <w:lvlJc w:val="left"/>
      <w:pPr>
        <w:ind w:left="4740" w:hanging="360"/>
      </w:pPr>
      <w:rPr>
        <w:rFonts w:ascii="Times New Roman" w:hAnsi="Times New Roman" w:cs="Times New Roman"/>
      </w:rPr>
    </w:lvl>
    <w:lvl w:ilvl="7" w:tplc="040E0019">
      <w:start w:val="1"/>
      <w:numFmt w:val="lowerLetter"/>
      <w:lvlText w:val="%8."/>
      <w:lvlJc w:val="left"/>
      <w:pPr>
        <w:ind w:left="5460" w:hanging="360"/>
      </w:pPr>
      <w:rPr>
        <w:rFonts w:ascii="Times New Roman" w:hAnsi="Times New Roman" w:cs="Times New Roman"/>
      </w:rPr>
    </w:lvl>
    <w:lvl w:ilvl="8" w:tplc="040E001B">
      <w:start w:val="1"/>
      <w:numFmt w:val="lowerRoman"/>
      <w:lvlText w:val="%9."/>
      <w:lvlJc w:val="right"/>
      <w:pPr>
        <w:ind w:left="6180" w:hanging="180"/>
      </w:pPr>
      <w:rPr>
        <w:rFonts w:ascii="Times New Roman" w:hAnsi="Times New Roman"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start w:val="1"/>
      <w:numFmt w:val="bullet"/>
      <w:lvlText w:val="o"/>
      <w:lvlJc w:val="left"/>
      <w:pPr>
        <w:tabs>
          <w:tab w:val="num" w:pos="1485"/>
        </w:tabs>
        <w:ind w:left="1485" w:hanging="360"/>
      </w:pPr>
      <w:rPr>
        <w:rFonts w:ascii="Courier New" w:hAnsi="Courier New" w:cs="Courier New" w:hint="default"/>
      </w:rPr>
    </w:lvl>
    <w:lvl w:ilvl="2" w:tplc="040E0005">
      <w:start w:val="1"/>
      <w:numFmt w:val="bullet"/>
      <w:lvlText w:val=""/>
      <w:lvlJc w:val="left"/>
      <w:pPr>
        <w:tabs>
          <w:tab w:val="num" w:pos="2205"/>
        </w:tabs>
        <w:ind w:left="2205" w:hanging="360"/>
      </w:pPr>
      <w:rPr>
        <w:rFonts w:ascii="Wingdings" w:hAnsi="Wingdings" w:cs="Wingdings" w:hint="default"/>
      </w:rPr>
    </w:lvl>
    <w:lvl w:ilvl="3" w:tplc="040E0001">
      <w:start w:val="1"/>
      <w:numFmt w:val="bullet"/>
      <w:lvlText w:val=""/>
      <w:lvlJc w:val="left"/>
      <w:pPr>
        <w:tabs>
          <w:tab w:val="num" w:pos="2925"/>
        </w:tabs>
        <w:ind w:left="2925" w:hanging="360"/>
      </w:pPr>
      <w:rPr>
        <w:rFonts w:ascii="Symbol" w:hAnsi="Symbol" w:cs="Symbol" w:hint="default"/>
      </w:rPr>
    </w:lvl>
    <w:lvl w:ilvl="4" w:tplc="040E0003">
      <w:start w:val="1"/>
      <w:numFmt w:val="bullet"/>
      <w:lvlText w:val="o"/>
      <w:lvlJc w:val="left"/>
      <w:pPr>
        <w:tabs>
          <w:tab w:val="num" w:pos="3645"/>
        </w:tabs>
        <w:ind w:left="3645" w:hanging="360"/>
      </w:pPr>
      <w:rPr>
        <w:rFonts w:ascii="Courier New" w:hAnsi="Courier New" w:cs="Courier New" w:hint="default"/>
      </w:rPr>
    </w:lvl>
    <w:lvl w:ilvl="5" w:tplc="040E0005">
      <w:start w:val="1"/>
      <w:numFmt w:val="bullet"/>
      <w:lvlText w:val=""/>
      <w:lvlJc w:val="left"/>
      <w:pPr>
        <w:tabs>
          <w:tab w:val="num" w:pos="4365"/>
        </w:tabs>
        <w:ind w:left="4365" w:hanging="360"/>
      </w:pPr>
      <w:rPr>
        <w:rFonts w:ascii="Wingdings" w:hAnsi="Wingdings" w:cs="Wingdings" w:hint="default"/>
      </w:rPr>
    </w:lvl>
    <w:lvl w:ilvl="6" w:tplc="040E0001">
      <w:start w:val="1"/>
      <w:numFmt w:val="bullet"/>
      <w:lvlText w:val=""/>
      <w:lvlJc w:val="left"/>
      <w:pPr>
        <w:tabs>
          <w:tab w:val="num" w:pos="5085"/>
        </w:tabs>
        <w:ind w:left="5085" w:hanging="360"/>
      </w:pPr>
      <w:rPr>
        <w:rFonts w:ascii="Symbol" w:hAnsi="Symbol" w:cs="Symbol" w:hint="default"/>
      </w:rPr>
    </w:lvl>
    <w:lvl w:ilvl="7" w:tplc="040E0003">
      <w:start w:val="1"/>
      <w:numFmt w:val="bullet"/>
      <w:lvlText w:val="o"/>
      <w:lvlJc w:val="left"/>
      <w:pPr>
        <w:tabs>
          <w:tab w:val="num" w:pos="5805"/>
        </w:tabs>
        <w:ind w:left="5805" w:hanging="360"/>
      </w:pPr>
      <w:rPr>
        <w:rFonts w:ascii="Courier New" w:hAnsi="Courier New" w:cs="Courier New" w:hint="default"/>
      </w:rPr>
    </w:lvl>
    <w:lvl w:ilvl="8" w:tplc="040E0005">
      <w:start w:val="1"/>
      <w:numFmt w:val="bullet"/>
      <w:lvlText w:val=""/>
      <w:lvlJc w:val="left"/>
      <w:pPr>
        <w:tabs>
          <w:tab w:val="num" w:pos="6525"/>
        </w:tabs>
        <w:ind w:left="6525" w:hanging="360"/>
      </w:pPr>
      <w:rPr>
        <w:rFonts w:ascii="Wingdings" w:hAnsi="Wingdings" w:cs="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ascii="Times New Roman" w:hAnsi="Times New Roman" w:cs="Times New Roman" w:hint="default"/>
      </w:rPr>
    </w:lvl>
    <w:lvl w:ilvl="1" w:tplc="040E0019">
      <w:start w:val="1"/>
      <w:numFmt w:val="lowerLetter"/>
      <w:lvlText w:val="%2."/>
      <w:lvlJc w:val="left"/>
      <w:pPr>
        <w:ind w:left="1500" w:hanging="360"/>
      </w:pPr>
      <w:rPr>
        <w:rFonts w:ascii="Times New Roman" w:hAnsi="Times New Roman" w:cs="Times New Roman"/>
      </w:rPr>
    </w:lvl>
    <w:lvl w:ilvl="2" w:tplc="040E001B">
      <w:start w:val="1"/>
      <w:numFmt w:val="lowerRoman"/>
      <w:lvlText w:val="%3."/>
      <w:lvlJc w:val="right"/>
      <w:pPr>
        <w:ind w:left="2220" w:hanging="180"/>
      </w:pPr>
      <w:rPr>
        <w:rFonts w:ascii="Times New Roman" w:hAnsi="Times New Roman" w:cs="Times New Roman"/>
      </w:rPr>
    </w:lvl>
    <w:lvl w:ilvl="3" w:tplc="040E000F">
      <w:start w:val="1"/>
      <w:numFmt w:val="decimal"/>
      <w:lvlText w:val="%4."/>
      <w:lvlJc w:val="left"/>
      <w:pPr>
        <w:ind w:left="2940" w:hanging="360"/>
      </w:pPr>
      <w:rPr>
        <w:rFonts w:ascii="Times New Roman" w:hAnsi="Times New Roman" w:cs="Times New Roman"/>
      </w:rPr>
    </w:lvl>
    <w:lvl w:ilvl="4" w:tplc="040E0019">
      <w:start w:val="1"/>
      <w:numFmt w:val="lowerLetter"/>
      <w:lvlText w:val="%5."/>
      <w:lvlJc w:val="left"/>
      <w:pPr>
        <w:ind w:left="3660" w:hanging="360"/>
      </w:pPr>
      <w:rPr>
        <w:rFonts w:ascii="Times New Roman" w:hAnsi="Times New Roman" w:cs="Times New Roman"/>
      </w:rPr>
    </w:lvl>
    <w:lvl w:ilvl="5" w:tplc="040E001B">
      <w:start w:val="1"/>
      <w:numFmt w:val="lowerRoman"/>
      <w:lvlText w:val="%6."/>
      <w:lvlJc w:val="right"/>
      <w:pPr>
        <w:ind w:left="4380" w:hanging="180"/>
      </w:pPr>
      <w:rPr>
        <w:rFonts w:ascii="Times New Roman" w:hAnsi="Times New Roman" w:cs="Times New Roman"/>
      </w:rPr>
    </w:lvl>
    <w:lvl w:ilvl="6" w:tplc="040E000F">
      <w:start w:val="1"/>
      <w:numFmt w:val="decimal"/>
      <w:lvlText w:val="%7."/>
      <w:lvlJc w:val="left"/>
      <w:pPr>
        <w:ind w:left="5100" w:hanging="360"/>
      </w:pPr>
      <w:rPr>
        <w:rFonts w:ascii="Times New Roman" w:hAnsi="Times New Roman" w:cs="Times New Roman"/>
      </w:rPr>
    </w:lvl>
    <w:lvl w:ilvl="7" w:tplc="040E0019">
      <w:start w:val="1"/>
      <w:numFmt w:val="lowerLetter"/>
      <w:lvlText w:val="%8."/>
      <w:lvlJc w:val="left"/>
      <w:pPr>
        <w:ind w:left="5820" w:hanging="360"/>
      </w:pPr>
      <w:rPr>
        <w:rFonts w:ascii="Times New Roman" w:hAnsi="Times New Roman" w:cs="Times New Roman"/>
      </w:rPr>
    </w:lvl>
    <w:lvl w:ilvl="8" w:tplc="040E001B">
      <w:start w:val="1"/>
      <w:numFmt w:val="lowerRoman"/>
      <w:lvlText w:val="%9."/>
      <w:lvlJc w:val="right"/>
      <w:pPr>
        <w:ind w:left="6540" w:hanging="180"/>
      </w:pPr>
      <w:rPr>
        <w:rFonts w:ascii="Times New Roman" w:hAnsi="Times New Roman" w:cs="Times New Roman"/>
      </w:r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B9A"/>
    <w:rsid w:val="00CA5B9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jc w:val="center"/>
      <w:outlineLvl w:val="0"/>
    </w:pPr>
    <w:rPr>
      <w:rFonts w:ascii="Arial Narrow" w:hAnsi="Arial Narrow" w:cs="Arial Narrow"/>
      <w:b/>
      <w:bCs/>
      <w:spacing w:val="20"/>
      <w:sz w:val="26"/>
      <w:szCs w:val="26"/>
    </w:rPr>
  </w:style>
  <w:style w:type="paragraph" w:styleId="Heading2">
    <w:name w:val="heading 2"/>
    <w:basedOn w:val="Normal"/>
    <w:next w:val="Normal"/>
    <w:link w:val="Heading2Char"/>
    <w:uiPriority w:val="99"/>
    <w:qFormat/>
    <w:pPr>
      <w:keepNext/>
      <w:jc w:val="center"/>
      <w:outlineLvl w:val="1"/>
    </w:pPr>
    <w:rPr>
      <w:rFonts w:ascii="Arial Narrow" w:hAnsi="Arial Narrow" w:cs="Arial Narrow"/>
      <w:b/>
      <w:bCs/>
    </w:rPr>
  </w:style>
  <w:style w:type="paragraph" w:styleId="Heading3">
    <w:name w:val="heading 3"/>
    <w:basedOn w:val="Normal"/>
    <w:next w:val="Normal"/>
    <w:link w:val="Heading3Char"/>
    <w:uiPriority w:val="99"/>
    <w:qFormat/>
    <w:pPr>
      <w:keepNext/>
      <w:jc w:val="center"/>
      <w:outlineLvl w:val="2"/>
    </w:pPr>
    <w:rPr>
      <w:rFonts w:ascii="Arial Narrow" w:hAnsi="Arial Narrow" w:cs="Arial Narrow"/>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paragraph" w:styleId="BodyText">
    <w:name w:val="Body Text"/>
    <w:basedOn w:val="Normal"/>
    <w:link w:val="BodyTextChar"/>
    <w:uiPriority w:val="99"/>
    <w:pPr>
      <w:jc w:val="both"/>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2">
    <w:name w:val="Body Text 2"/>
    <w:basedOn w:val="Normal"/>
    <w:link w:val="BodyText2Char"/>
    <w:uiPriority w:val="99"/>
    <w:pPr>
      <w:jc w:val="both"/>
    </w:pPr>
    <w:rPr>
      <w:rFonts w:ascii="Arial Narrow" w:hAnsi="Arial Narrow" w:cs="Arial Narrow"/>
      <w:b/>
      <w:bCs/>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3">
    <w:name w:val="Body Text 3"/>
    <w:basedOn w:val="Normal"/>
    <w:link w:val="BodyText3Char"/>
    <w:uiPriority w:val="99"/>
    <w:pPr>
      <w:jc w:val="both"/>
    </w:pPr>
    <w:rPr>
      <w:rFonts w:ascii="Arial Narrow" w:hAnsi="Arial Narrow" w:cs="Arial Narrow"/>
      <w:b/>
      <w:bCs/>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imes New Roman" w:hAnsi="Times New Roman" w:cs="Times New Roman"/>
      <w:sz w:val="2"/>
      <w:szCs w:val="2"/>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customStyle="1" w:styleId="Listaszerbekezds1">
    <w:name w:val="Listaszerű bekezdés1"/>
    <w:basedOn w:val="Normal"/>
    <w:uiPriority w:val="99"/>
    <w:pPr>
      <w:ind w:left="720"/>
    </w:pPr>
    <w:rPr>
      <w:rFonts w:cs="Times New Roman"/>
    </w:rPr>
  </w:style>
  <w:style w:type="character" w:styleId="Strong">
    <w:name w:val="Strong"/>
    <w:basedOn w:val="DefaultParagraphFont"/>
    <w:uiPriority w:val="99"/>
    <w:qFormat/>
    <w:rPr>
      <w:rFonts w:ascii="Times New Roman" w:hAnsi="Times New Roman" w:cs="Times New Roman"/>
      <w:b/>
      <w:bCs/>
    </w:rPr>
  </w:style>
  <w:style w:type="paragraph" w:styleId="ListParagraph">
    <w:name w:val="List Paragraph"/>
    <w:basedOn w:val="Normal"/>
    <w:uiPriority w:val="99"/>
    <w:qFormat/>
    <w:pPr>
      <w:ind w:left="720"/>
    </w:pPr>
    <w:rPr>
      <w:rFonts w:cs="Times New Roman"/>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3191</Words>
  <Characters>18193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Németh József</cp:lastModifiedBy>
  <cp:revision>6</cp:revision>
  <cp:lastPrinted>2012-09-14T08:15:00Z</cp:lastPrinted>
  <dcterms:created xsi:type="dcterms:W3CDTF">2015-09-03T09:24:00Z</dcterms:created>
  <dcterms:modified xsi:type="dcterms:W3CDTF">2015-10-02T06:37:00Z</dcterms:modified>
</cp:coreProperties>
</file>